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B137A" w14:textId="47E7D014" w:rsidR="007975E9" w:rsidRPr="00C858BC" w:rsidRDefault="007975E9" w:rsidP="00C858BC">
      <w:pPr>
        <w:widowControl w:val="0"/>
        <w:autoSpaceDE w:val="0"/>
        <w:autoSpaceDN w:val="0"/>
        <w:adjustRightInd w:val="0"/>
        <w:spacing w:line="360" w:lineRule="auto"/>
        <w:jc w:val="center"/>
        <w:rPr>
          <w:rFonts w:ascii="Arial" w:hAnsi="Arial" w:cs="Arial"/>
          <w:b/>
          <w:sz w:val="22"/>
          <w:szCs w:val="22"/>
          <w:u w:val="single"/>
          <w:lang w:val="en-US"/>
        </w:rPr>
      </w:pPr>
      <w:r w:rsidRPr="00C858BC">
        <w:rPr>
          <w:rFonts w:ascii="Arial" w:hAnsi="Arial" w:cs="Arial"/>
          <w:b/>
          <w:sz w:val="22"/>
          <w:szCs w:val="22"/>
          <w:u w:val="single"/>
          <w:lang w:val="en-US"/>
        </w:rPr>
        <w:t>Anaesthesia teaching for medical students</w:t>
      </w:r>
    </w:p>
    <w:p w14:paraId="59D1AEEB" w14:textId="77777777" w:rsidR="006113B7" w:rsidRPr="00C858BC" w:rsidRDefault="006113B7" w:rsidP="00C858BC">
      <w:pPr>
        <w:widowControl w:val="0"/>
        <w:autoSpaceDE w:val="0"/>
        <w:autoSpaceDN w:val="0"/>
        <w:adjustRightInd w:val="0"/>
        <w:spacing w:line="360" w:lineRule="auto"/>
        <w:rPr>
          <w:rFonts w:ascii="Arial" w:hAnsi="Arial" w:cs="Arial"/>
          <w:sz w:val="22"/>
          <w:szCs w:val="22"/>
          <w:lang w:val="en-US"/>
        </w:rPr>
      </w:pPr>
    </w:p>
    <w:p w14:paraId="0D105DB6" w14:textId="450722EB" w:rsidR="007975E9" w:rsidRPr="00C858BC" w:rsidRDefault="007975E9"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In Australia alone, medical schools graduated over 3 </w:t>
      </w:r>
      <w:r w:rsidR="00717E11" w:rsidRPr="00C858BC">
        <w:rPr>
          <w:rFonts w:ascii="Arial" w:hAnsi="Arial" w:cs="Arial"/>
          <w:sz w:val="22"/>
          <w:szCs w:val="22"/>
          <w:lang w:val="en-US"/>
        </w:rPr>
        <w:t>3</w:t>
      </w:r>
      <w:r w:rsidRPr="00C858BC">
        <w:rPr>
          <w:rFonts w:ascii="Arial" w:hAnsi="Arial" w:cs="Arial"/>
          <w:sz w:val="22"/>
          <w:szCs w:val="22"/>
          <w:lang w:val="en-US"/>
        </w:rPr>
        <w:t xml:space="preserve">00 new doctors in </w:t>
      </w:r>
      <w:r w:rsidR="00717E11" w:rsidRPr="00C858BC">
        <w:rPr>
          <w:rFonts w:ascii="Arial" w:hAnsi="Arial" w:cs="Arial"/>
          <w:sz w:val="22"/>
          <w:szCs w:val="22"/>
          <w:lang w:val="en-US"/>
        </w:rPr>
        <w:t>2013</w:t>
      </w:r>
      <w:r w:rsidR="00944678" w:rsidRPr="00C858BC">
        <w:rPr>
          <w:rFonts w:ascii="Arial" w:hAnsi="Arial" w:cs="Arial"/>
          <w:sz w:val="22"/>
          <w:szCs w:val="22"/>
          <w:lang w:val="en-US"/>
        </w:rPr>
        <w:t xml:space="preserve"> </w:t>
      </w:r>
      <w:r w:rsidRPr="00C858BC">
        <w:rPr>
          <w:rFonts w:ascii="Arial" w:hAnsi="Arial" w:cs="Arial"/>
          <w:sz w:val="22"/>
          <w:szCs w:val="22"/>
          <w:lang w:val="en-US"/>
        </w:rPr>
        <w:t>– double the number of graduands from a decade ago.</w:t>
      </w:r>
      <w:r w:rsidR="00564BCF" w:rsidRPr="00C858BC">
        <w:rPr>
          <w:rFonts w:ascii="Arial" w:hAnsi="Arial" w:cs="Arial"/>
          <w:sz w:val="22"/>
          <w:szCs w:val="22"/>
          <w:vertAlign w:val="superscript"/>
          <w:lang w:val="en-US"/>
        </w:rPr>
        <w:t>1</w:t>
      </w:r>
      <w:r w:rsidRPr="00C858BC">
        <w:rPr>
          <w:rFonts w:ascii="Arial" w:hAnsi="Arial" w:cs="Arial"/>
          <w:sz w:val="22"/>
          <w:szCs w:val="22"/>
          <w:lang w:val="en-US"/>
        </w:rPr>
        <w:t xml:space="preserve"> Anaesthesia, critical care, perioperative, and pain medicine are taught in most Australian and New Zealand medical school curricula to some degree. However no uniform curriculum exists between universities and no standardisation occurs for the relevant knowledge and competencies of graduating doctors.</w:t>
      </w:r>
    </w:p>
    <w:p w14:paraId="2CF7BF78" w14:textId="77777777" w:rsidR="007975E9" w:rsidRPr="00C858BC" w:rsidRDefault="007975E9" w:rsidP="00C858BC">
      <w:pPr>
        <w:widowControl w:val="0"/>
        <w:autoSpaceDE w:val="0"/>
        <w:autoSpaceDN w:val="0"/>
        <w:adjustRightInd w:val="0"/>
        <w:spacing w:line="360" w:lineRule="auto"/>
        <w:rPr>
          <w:rFonts w:ascii="Arial" w:hAnsi="Arial" w:cs="Arial"/>
          <w:sz w:val="22"/>
          <w:szCs w:val="22"/>
          <w:lang w:val="en-US"/>
        </w:rPr>
      </w:pPr>
    </w:p>
    <w:p w14:paraId="377922DB" w14:textId="5CD6BDDD" w:rsidR="007975E9" w:rsidRPr="00C858BC" w:rsidRDefault="007975E9"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In this article we provide answers to a number of questions that </w:t>
      </w:r>
      <w:r w:rsidR="00944678" w:rsidRPr="00C858BC">
        <w:rPr>
          <w:rFonts w:ascii="Arial" w:hAnsi="Arial" w:cs="Arial"/>
          <w:sz w:val="22"/>
          <w:szCs w:val="22"/>
          <w:lang w:val="en-US"/>
        </w:rPr>
        <w:t xml:space="preserve">may </w:t>
      </w:r>
      <w:r w:rsidRPr="00C858BC">
        <w:rPr>
          <w:rFonts w:ascii="Arial" w:hAnsi="Arial" w:cs="Arial"/>
          <w:sz w:val="22"/>
          <w:szCs w:val="22"/>
          <w:lang w:val="en-US"/>
        </w:rPr>
        <w:t>be asked about anaesthesia curricula for medical student teaching.</w:t>
      </w:r>
    </w:p>
    <w:p w14:paraId="7256F560" w14:textId="77777777" w:rsidR="007975E9" w:rsidRPr="00C858BC" w:rsidRDefault="007975E9" w:rsidP="00C858BC">
      <w:pPr>
        <w:widowControl w:val="0"/>
        <w:autoSpaceDE w:val="0"/>
        <w:autoSpaceDN w:val="0"/>
        <w:adjustRightInd w:val="0"/>
        <w:spacing w:line="360" w:lineRule="auto"/>
        <w:rPr>
          <w:rFonts w:ascii="Arial" w:hAnsi="Arial" w:cs="Arial"/>
          <w:b/>
          <w:sz w:val="22"/>
          <w:szCs w:val="22"/>
          <w:u w:val="single"/>
          <w:lang w:val="en-US"/>
        </w:rPr>
      </w:pPr>
    </w:p>
    <w:p w14:paraId="14A5B0CF" w14:textId="4C55CD86" w:rsidR="005A627D" w:rsidRPr="00C858BC" w:rsidRDefault="00AC78C9" w:rsidP="00C858BC">
      <w:pPr>
        <w:widowControl w:val="0"/>
        <w:autoSpaceDE w:val="0"/>
        <w:autoSpaceDN w:val="0"/>
        <w:adjustRightInd w:val="0"/>
        <w:spacing w:line="360" w:lineRule="auto"/>
        <w:rPr>
          <w:rFonts w:ascii="Arial" w:hAnsi="Arial" w:cs="Arial"/>
          <w:b/>
          <w:sz w:val="22"/>
          <w:szCs w:val="22"/>
          <w:u w:val="single"/>
          <w:lang w:val="en-US"/>
        </w:rPr>
      </w:pPr>
      <w:r w:rsidRPr="00C858BC">
        <w:rPr>
          <w:rFonts w:ascii="Arial" w:hAnsi="Arial" w:cs="Arial"/>
          <w:b/>
          <w:sz w:val="22"/>
          <w:szCs w:val="22"/>
          <w:u w:val="single"/>
          <w:lang w:val="en-US"/>
        </w:rPr>
        <w:t>What is the r</w:t>
      </w:r>
      <w:r w:rsidR="005A627D" w:rsidRPr="00C858BC">
        <w:rPr>
          <w:rFonts w:ascii="Arial" w:hAnsi="Arial" w:cs="Arial"/>
          <w:b/>
          <w:sz w:val="22"/>
          <w:szCs w:val="22"/>
          <w:u w:val="single"/>
          <w:lang w:val="en-US"/>
        </w:rPr>
        <w:t>ationale for teaching anaesthesia and perioperative medicine in the undergraduate curriculum</w:t>
      </w:r>
      <w:r w:rsidRPr="00C858BC">
        <w:rPr>
          <w:rFonts w:ascii="Arial" w:hAnsi="Arial" w:cs="Arial"/>
          <w:b/>
          <w:sz w:val="22"/>
          <w:szCs w:val="22"/>
          <w:u w:val="single"/>
          <w:lang w:val="en-US"/>
        </w:rPr>
        <w:t>?</w:t>
      </w:r>
    </w:p>
    <w:p w14:paraId="08E01F3A" w14:textId="5C86E189" w:rsidR="009563CD" w:rsidRPr="00C858BC" w:rsidRDefault="00AC78C9"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Anaesthetists possess a wide range of knowledge and skills </w:t>
      </w:r>
      <w:r w:rsidR="009563CD" w:rsidRPr="00C858BC">
        <w:rPr>
          <w:rFonts w:ascii="Arial" w:hAnsi="Arial" w:cs="Arial"/>
          <w:sz w:val="22"/>
          <w:szCs w:val="22"/>
          <w:lang w:val="en-US"/>
        </w:rPr>
        <w:t>and are</w:t>
      </w:r>
      <w:r w:rsidR="002C7AD7" w:rsidRPr="00C858BC">
        <w:rPr>
          <w:rFonts w:ascii="Arial" w:hAnsi="Arial" w:cs="Arial"/>
          <w:sz w:val="22"/>
          <w:szCs w:val="22"/>
          <w:lang w:val="en-US"/>
        </w:rPr>
        <w:t xml:space="preserve"> well suited to </w:t>
      </w:r>
      <w:r w:rsidR="009563CD" w:rsidRPr="00C858BC">
        <w:rPr>
          <w:rFonts w:ascii="Arial" w:hAnsi="Arial" w:cs="Arial"/>
          <w:sz w:val="22"/>
          <w:szCs w:val="22"/>
          <w:lang w:val="en-US"/>
        </w:rPr>
        <w:t xml:space="preserve">teach a variety of topics that benefit all medical undergraduates.  As well as clinical anaesthesia, they can </w:t>
      </w:r>
      <w:r w:rsidR="002C7AD7" w:rsidRPr="00C858BC">
        <w:rPr>
          <w:rFonts w:ascii="Arial" w:hAnsi="Arial" w:cs="Arial"/>
          <w:sz w:val="22"/>
          <w:szCs w:val="22"/>
          <w:lang w:val="en-US"/>
        </w:rPr>
        <w:t xml:space="preserve">provide training in areas such as cardio-pulmonary resuscitation, care of the critically ill, preoperative assessment, perioperative medicine, </w:t>
      </w:r>
      <w:r w:rsidR="009563CD" w:rsidRPr="00C858BC">
        <w:rPr>
          <w:rFonts w:ascii="Arial" w:hAnsi="Arial" w:cs="Arial"/>
          <w:sz w:val="22"/>
          <w:szCs w:val="22"/>
          <w:lang w:val="en-US"/>
        </w:rPr>
        <w:t xml:space="preserve">important procedural skills, </w:t>
      </w:r>
      <w:r w:rsidR="002C7AD7" w:rsidRPr="00C858BC">
        <w:rPr>
          <w:rFonts w:ascii="Arial" w:hAnsi="Arial" w:cs="Arial"/>
          <w:sz w:val="22"/>
          <w:szCs w:val="22"/>
          <w:lang w:val="en-US"/>
        </w:rPr>
        <w:t xml:space="preserve">acute and chronic pain management, and applied physiology and pharmacology. </w:t>
      </w:r>
      <w:r w:rsidR="009563CD" w:rsidRPr="00C858BC">
        <w:rPr>
          <w:rFonts w:ascii="Arial" w:hAnsi="Arial" w:cs="Arial"/>
          <w:sz w:val="22"/>
          <w:szCs w:val="22"/>
          <w:lang w:val="en-US"/>
        </w:rPr>
        <w:t>Anaesthetists are also well positioned to explore other themes including aspects of teamwork, multidisciplinary work, patient safety, ethics, and professionalism.</w:t>
      </w:r>
      <w:r w:rsidR="00564BCF" w:rsidRPr="00C858BC">
        <w:rPr>
          <w:rFonts w:ascii="Arial" w:hAnsi="Arial" w:cs="Arial"/>
          <w:sz w:val="22"/>
          <w:szCs w:val="22"/>
          <w:vertAlign w:val="superscript"/>
          <w:lang w:val="en-US"/>
        </w:rPr>
        <w:t>2</w:t>
      </w:r>
    </w:p>
    <w:p w14:paraId="3083218C" w14:textId="77777777" w:rsidR="009563CD" w:rsidRPr="00C858BC" w:rsidRDefault="009563CD" w:rsidP="00C858BC">
      <w:pPr>
        <w:widowControl w:val="0"/>
        <w:autoSpaceDE w:val="0"/>
        <w:autoSpaceDN w:val="0"/>
        <w:adjustRightInd w:val="0"/>
        <w:spacing w:line="360" w:lineRule="auto"/>
        <w:rPr>
          <w:rFonts w:ascii="Arial" w:hAnsi="Arial" w:cs="Arial"/>
          <w:sz w:val="22"/>
          <w:szCs w:val="22"/>
          <w:lang w:val="en-US"/>
        </w:rPr>
      </w:pPr>
    </w:p>
    <w:p w14:paraId="337CAE12" w14:textId="0C1D3A3E" w:rsidR="00E023D5" w:rsidRPr="00C858BC" w:rsidRDefault="002C7AD7"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Previous studies have demonstrated deficiencies in knowledge and skills in many of these areas at an undergraduate and early postgraduate level</w:t>
      </w:r>
      <w:r w:rsidR="00564BCF" w:rsidRPr="00C858BC">
        <w:rPr>
          <w:rFonts w:ascii="Arial" w:hAnsi="Arial" w:cs="Arial"/>
          <w:color w:val="FF0000"/>
          <w:sz w:val="22"/>
          <w:szCs w:val="22"/>
          <w:lang w:val="en-US"/>
        </w:rPr>
        <w:t>.</w:t>
      </w:r>
      <w:r w:rsidR="00564BCF" w:rsidRPr="00C858BC">
        <w:rPr>
          <w:rFonts w:ascii="Arial" w:hAnsi="Arial" w:cs="Arial"/>
          <w:sz w:val="22"/>
          <w:szCs w:val="22"/>
          <w:vertAlign w:val="superscript"/>
          <w:lang w:val="en-US"/>
        </w:rPr>
        <w:t>3</w:t>
      </w:r>
      <w:r w:rsidRPr="00C858BC">
        <w:rPr>
          <w:rFonts w:ascii="Arial" w:hAnsi="Arial" w:cs="Arial"/>
          <w:color w:val="FF0000"/>
          <w:sz w:val="22"/>
          <w:szCs w:val="22"/>
          <w:lang w:val="en-US"/>
        </w:rPr>
        <w:t xml:space="preserve"> </w:t>
      </w:r>
      <w:r w:rsidRPr="00C858BC">
        <w:rPr>
          <w:rFonts w:ascii="Arial" w:hAnsi="Arial" w:cs="Arial"/>
          <w:sz w:val="22"/>
          <w:szCs w:val="22"/>
          <w:lang w:val="en-US"/>
        </w:rPr>
        <w:t>Anaesthesia is the third largest hospital based specialty in Australia and New Zealand but forms a very small proportion of the curriculum in most medical schools</w:t>
      </w:r>
      <w:r w:rsidR="00564BCF" w:rsidRPr="00C858BC">
        <w:rPr>
          <w:rFonts w:ascii="Arial" w:hAnsi="Arial" w:cs="Arial"/>
          <w:sz w:val="22"/>
          <w:szCs w:val="22"/>
          <w:lang w:val="en-US"/>
        </w:rPr>
        <w:t xml:space="preserve">. </w:t>
      </w:r>
      <w:r w:rsidR="00564BCF" w:rsidRPr="00C858BC">
        <w:rPr>
          <w:rFonts w:ascii="Arial" w:hAnsi="Arial" w:cs="Arial"/>
          <w:sz w:val="22"/>
          <w:szCs w:val="22"/>
          <w:vertAlign w:val="superscript"/>
          <w:lang w:val="en-US"/>
        </w:rPr>
        <w:t>4</w:t>
      </w:r>
      <w:proofErr w:type="gramStart"/>
      <w:r w:rsidR="00564BCF" w:rsidRPr="00C858BC">
        <w:rPr>
          <w:rFonts w:ascii="Arial" w:hAnsi="Arial" w:cs="Arial"/>
          <w:sz w:val="22"/>
          <w:szCs w:val="22"/>
          <w:vertAlign w:val="superscript"/>
          <w:lang w:val="en-US"/>
        </w:rPr>
        <w:t>,5</w:t>
      </w:r>
      <w:proofErr w:type="gramEnd"/>
    </w:p>
    <w:p w14:paraId="512EBD35" w14:textId="77777777" w:rsidR="00E023D5" w:rsidRPr="00C858BC" w:rsidRDefault="00E023D5" w:rsidP="00C858BC">
      <w:pPr>
        <w:widowControl w:val="0"/>
        <w:autoSpaceDE w:val="0"/>
        <w:autoSpaceDN w:val="0"/>
        <w:adjustRightInd w:val="0"/>
        <w:spacing w:line="360" w:lineRule="auto"/>
        <w:rPr>
          <w:rFonts w:ascii="Arial" w:hAnsi="Arial" w:cs="Arial"/>
          <w:sz w:val="22"/>
          <w:szCs w:val="22"/>
          <w:lang w:val="en-US"/>
        </w:rPr>
      </w:pPr>
    </w:p>
    <w:p w14:paraId="07E4391C" w14:textId="145B9421" w:rsidR="003855C0" w:rsidRPr="00C858BC" w:rsidRDefault="00AC78C9" w:rsidP="00C858BC">
      <w:pPr>
        <w:widowControl w:val="0"/>
        <w:autoSpaceDE w:val="0"/>
        <w:autoSpaceDN w:val="0"/>
        <w:adjustRightInd w:val="0"/>
        <w:spacing w:line="360" w:lineRule="auto"/>
        <w:rPr>
          <w:rFonts w:ascii="Arial" w:hAnsi="Arial" w:cs="Arial"/>
          <w:b/>
          <w:sz w:val="22"/>
          <w:szCs w:val="22"/>
          <w:u w:val="single"/>
          <w:lang w:val="en-US"/>
        </w:rPr>
      </w:pPr>
      <w:r w:rsidRPr="00C858BC">
        <w:rPr>
          <w:rFonts w:ascii="Arial" w:hAnsi="Arial" w:cs="Arial"/>
          <w:b/>
          <w:sz w:val="22"/>
          <w:szCs w:val="22"/>
          <w:u w:val="single"/>
          <w:lang w:val="en-US"/>
        </w:rPr>
        <w:t>What is the state of</w:t>
      </w:r>
      <w:r w:rsidR="003855C0" w:rsidRPr="00C858BC">
        <w:rPr>
          <w:rFonts w:ascii="Arial" w:hAnsi="Arial" w:cs="Arial"/>
          <w:b/>
          <w:sz w:val="22"/>
          <w:szCs w:val="22"/>
          <w:u w:val="single"/>
          <w:lang w:val="en-US"/>
        </w:rPr>
        <w:t xml:space="preserve"> current teaching of anaesthesia and perioperative medicine in medical schools</w:t>
      </w:r>
      <w:r w:rsidRPr="00C858BC">
        <w:rPr>
          <w:rFonts w:ascii="Arial" w:hAnsi="Arial" w:cs="Arial"/>
          <w:b/>
          <w:sz w:val="22"/>
          <w:szCs w:val="22"/>
          <w:u w:val="single"/>
          <w:lang w:val="en-US"/>
        </w:rPr>
        <w:t>?</w:t>
      </w:r>
    </w:p>
    <w:p w14:paraId="0FA279C8" w14:textId="44AA3890" w:rsidR="00717E11" w:rsidRPr="00C858BC" w:rsidRDefault="00717E11"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This is highly variable throughout Australia and New Zealand. In a recent survey to which anaesthesia representatives from 57% of medical schools in the two countries responded, half of the medical schools had a formal anaesthesia curriculum in place.</w:t>
      </w:r>
      <w:r w:rsidR="00564BCF" w:rsidRPr="00C858BC">
        <w:rPr>
          <w:rFonts w:ascii="Arial" w:hAnsi="Arial" w:cs="Arial"/>
          <w:sz w:val="22"/>
          <w:szCs w:val="22"/>
          <w:vertAlign w:val="superscript"/>
          <w:lang w:val="en-US"/>
        </w:rPr>
        <w:t>6</w:t>
      </w:r>
      <w:r w:rsidRPr="00C858BC">
        <w:rPr>
          <w:rFonts w:ascii="Arial" w:hAnsi="Arial" w:cs="Arial"/>
          <w:sz w:val="22"/>
          <w:szCs w:val="22"/>
          <w:lang w:val="en-US"/>
        </w:rPr>
        <w:t xml:space="preserve"> Anaesthesia teaching occurs primarily in the senior clinical years of the course, with durations ranging from optional lectures to 3-4 weeks of formal teaching and clinical placement.  Two schools noted that they offered additional elective teaching on top of their pre-existing curricula. Where no formal curriculum exists </w:t>
      </w:r>
      <w:r w:rsidRPr="00C858BC">
        <w:rPr>
          <w:rFonts w:ascii="Arial" w:hAnsi="Arial" w:cs="Arial"/>
          <w:sz w:val="22"/>
          <w:szCs w:val="22"/>
          <w:lang w:val="en-US"/>
        </w:rPr>
        <w:lastRenderedPageBreak/>
        <w:t>some anaesthesia topics are taught in either critical care blocks, as student electives, or in conjunction with surgical terms and basic science lectures.</w:t>
      </w:r>
    </w:p>
    <w:p w14:paraId="6726A254" w14:textId="77777777" w:rsidR="00717E11" w:rsidRPr="00C858BC" w:rsidRDefault="00717E11" w:rsidP="00C858BC">
      <w:pPr>
        <w:widowControl w:val="0"/>
        <w:autoSpaceDE w:val="0"/>
        <w:autoSpaceDN w:val="0"/>
        <w:adjustRightInd w:val="0"/>
        <w:spacing w:line="360" w:lineRule="auto"/>
        <w:rPr>
          <w:rFonts w:ascii="Arial" w:hAnsi="Arial" w:cs="Arial"/>
          <w:sz w:val="22"/>
          <w:szCs w:val="22"/>
          <w:lang w:val="en-US"/>
        </w:rPr>
      </w:pPr>
    </w:p>
    <w:p w14:paraId="502E64F4" w14:textId="77777777" w:rsidR="00717E11" w:rsidRPr="00C858BC" w:rsidRDefault="00717E11"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The current content focuses on knowledge and skills, mainly relating to airway management, pharmacology, life support, and intravenous fluids and cannulation. Most schools use multiple methods of teaching, with almost all utilizing clinical placements in theatre and two thirds or more additionally using simulation, lectures, and clinical skills tutorials. Most assess students at either the end of the placement or in a major examination. </w:t>
      </w:r>
    </w:p>
    <w:p w14:paraId="657AB5BE" w14:textId="77777777" w:rsidR="00E023D5" w:rsidRPr="00C858BC" w:rsidRDefault="00E023D5" w:rsidP="00C858BC">
      <w:pPr>
        <w:widowControl w:val="0"/>
        <w:autoSpaceDE w:val="0"/>
        <w:autoSpaceDN w:val="0"/>
        <w:adjustRightInd w:val="0"/>
        <w:spacing w:line="360" w:lineRule="auto"/>
        <w:rPr>
          <w:rFonts w:ascii="Arial" w:hAnsi="Arial" w:cs="Arial"/>
          <w:sz w:val="22"/>
          <w:szCs w:val="22"/>
          <w:lang w:val="en-US"/>
        </w:rPr>
      </w:pPr>
    </w:p>
    <w:p w14:paraId="32833952" w14:textId="77777777" w:rsidR="00A50CC5" w:rsidRPr="00C858BC" w:rsidRDefault="00A50CC5" w:rsidP="00C858BC">
      <w:pPr>
        <w:widowControl w:val="0"/>
        <w:autoSpaceDE w:val="0"/>
        <w:autoSpaceDN w:val="0"/>
        <w:adjustRightInd w:val="0"/>
        <w:spacing w:line="360" w:lineRule="auto"/>
        <w:rPr>
          <w:rFonts w:ascii="Arial" w:hAnsi="Arial" w:cs="Arial"/>
          <w:sz w:val="22"/>
          <w:szCs w:val="22"/>
          <w:lang w:val="en-US"/>
        </w:rPr>
      </w:pPr>
    </w:p>
    <w:p w14:paraId="2F9B2852" w14:textId="73FBDFFC" w:rsidR="005A627D" w:rsidRPr="00C858BC" w:rsidRDefault="00F92D4C" w:rsidP="00C858BC">
      <w:pPr>
        <w:widowControl w:val="0"/>
        <w:autoSpaceDE w:val="0"/>
        <w:autoSpaceDN w:val="0"/>
        <w:adjustRightInd w:val="0"/>
        <w:spacing w:line="360" w:lineRule="auto"/>
        <w:rPr>
          <w:rFonts w:ascii="Arial" w:hAnsi="Arial" w:cs="Arial"/>
          <w:b/>
          <w:sz w:val="22"/>
          <w:szCs w:val="22"/>
          <w:u w:val="single"/>
          <w:lang w:val="en-US"/>
        </w:rPr>
      </w:pPr>
      <w:r w:rsidRPr="00C858BC">
        <w:rPr>
          <w:rFonts w:ascii="Arial" w:hAnsi="Arial" w:cs="Arial"/>
          <w:b/>
          <w:sz w:val="22"/>
          <w:szCs w:val="22"/>
          <w:u w:val="single"/>
          <w:lang w:val="en-US"/>
        </w:rPr>
        <w:t>What</w:t>
      </w:r>
      <w:r w:rsidR="00550B53" w:rsidRPr="00C858BC">
        <w:rPr>
          <w:rFonts w:ascii="Arial" w:hAnsi="Arial" w:cs="Arial"/>
          <w:b/>
          <w:sz w:val="22"/>
          <w:szCs w:val="22"/>
          <w:u w:val="single"/>
          <w:lang w:val="en-US"/>
        </w:rPr>
        <w:t xml:space="preserve"> </w:t>
      </w:r>
      <w:r w:rsidR="005A627D" w:rsidRPr="00C858BC">
        <w:rPr>
          <w:rFonts w:ascii="Arial" w:hAnsi="Arial" w:cs="Arial"/>
          <w:b/>
          <w:sz w:val="22"/>
          <w:szCs w:val="22"/>
          <w:u w:val="single"/>
          <w:lang w:val="en-US"/>
        </w:rPr>
        <w:t>level of knowledge of anaesthesia and perioperative medicine</w:t>
      </w:r>
      <w:r w:rsidRPr="00C858BC">
        <w:rPr>
          <w:rFonts w:ascii="Arial" w:hAnsi="Arial" w:cs="Arial"/>
          <w:b/>
          <w:sz w:val="22"/>
          <w:szCs w:val="22"/>
          <w:u w:val="single"/>
          <w:lang w:val="en-US"/>
        </w:rPr>
        <w:t xml:space="preserve"> do students possess?</w:t>
      </w:r>
    </w:p>
    <w:p w14:paraId="791CBF48" w14:textId="4D8B35C6" w:rsidR="00EE1C88" w:rsidRPr="00C858BC" w:rsidRDefault="00EE1C88" w:rsidP="00C858BC">
      <w:pPr>
        <w:autoSpaceDE w:val="0"/>
        <w:autoSpaceDN w:val="0"/>
        <w:adjustRightInd w:val="0"/>
        <w:spacing w:line="360" w:lineRule="auto"/>
        <w:rPr>
          <w:rFonts w:ascii="Arial" w:hAnsi="Arial" w:cs="Arial"/>
          <w:sz w:val="22"/>
          <w:szCs w:val="22"/>
        </w:rPr>
      </w:pPr>
      <w:r w:rsidRPr="00C858BC">
        <w:rPr>
          <w:rFonts w:ascii="Arial" w:hAnsi="Arial" w:cs="Arial"/>
          <w:sz w:val="22"/>
          <w:szCs w:val="22"/>
        </w:rPr>
        <w:t xml:space="preserve">There are no recent studies assessing student knowledge of anaesthesia and perioperative medicine, and none relating to Australian and New Zealand students. </w:t>
      </w:r>
      <w:proofErr w:type="gramStart"/>
      <w:r w:rsidRPr="00C858BC">
        <w:rPr>
          <w:rFonts w:ascii="Arial" w:hAnsi="Arial" w:cs="Arial"/>
          <w:sz w:val="22"/>
          <w:szCs w:val="22"/>
        </w:rPr>
        <w:t>Studies from North America, Europe and the U.K demonstrated deficiencies in knowledge and skills at an undergraduate and early postgraduate level.</w:t>
      </w:r>
      <w:proofErr w:type="gramEnd"/>
      <w:r w:rsidRPr="00C858BC">
        <w:rPr>
          <w:rFonts w:ascii="Arial" w:hAnsi="Arial" w:cs="Arial"/>
          <w:sz w:val="22"/>
          <w:szCs w:val="22"/>
        </w:rPr>
        <w:t xml:space="preserve"> These areas included basic airway managem</w:t>
      </w:r>
      <w:r w:rsidR="00564BCF" w:rsidRPr="00C858BC">
        <w:rPr>
          <w:rFonts w:ascii="Arial" w:hAnsi="Arial" w:cs="Arial"/>
          <w:sz w:val="22"/>
          <w:szCs w:val="22"/>
        </w:rPr>
        <w:t xml:space="preserve">ent, </w:t>
      </w:r>
      <w:r w:rsidRPr="00C858BC">
        <w:rPr>
          <w:rFonts w:ascii="Arial" w:hAnsi="Arial" w:cs="Arial"/>
          <w:sz w:val="22"/>
          <w:szCs w:val="22"/>
        </w:rPr>
        <w:t>acute and chronic pain management</w:t>
      </w:r>
      <w:r w:rsidR="00564BCF" w:rsidRPr="00C858BC">
        <w:rPr>
          <w:rFonts w:ascii="Arial" w:hAnsi="Arial" w:cs="Arial"/>
          <w:sz w:val="22"/>
          <w:szCs w:val="22"/>
        </w:rPr>
        <w:t>,</w:t>
      </w:r>
      <w:r w:rsidRPr="00C858BC">
        <w:rPr>
          <w:rFonts w:ascii="Arial" w:hAnsi="Arial" w:cs="Arial"/>
          <w:color w:val="FF0000"/>
          <w:sz w:val="22"/>
          <w:szCs w:val="22"/>
        </w:rPr>
        <w:t xml:space="preserve"> </w:t>
      </w:r>
      <w:r w:rsidRPr="00C858BC">
        <w:rPr>
          <w:rFonts w:ascii="Arial" w:hAnsi="Arial" w:cs="Arial"/>
          <w:sz w:val="22"/>
          <w:szCs w:val="22"/>
        </w:rPr>
        <w:t>basic life support and simple procedures such as intravenous cannulation</w:t>
      </w:r>
      <w:r w:rsidR="00564BCF" w:rsidRPr="00C858BC">
        <w:rPr>
          <w:rFonts w:ascii="Arial" w:hAnsi="Arial" w:cs="Arial"/>
          <w:sz w:val="22"/>
          <w:szCs w:val="22"/>
        </w:rPr>
        <w:t xml:space="preserve">. </w:t>
      </w:r>
      <w:r w:rsidR="00564BCF" w:rsidRPr="00C858BC">
        <w:rPr>
          <w:rFonts w:ascii="Arial" w:hAnsi="Arial" w:cs="Arial"/>
          <w:sz w:val="22"/>
          <w:szCs w:val="22"/>
          <w:vertAlign w:val="superscript"/>
        </w:rPr>
        <w:t>7</w:t>
      </w:r>
      <w:proofErr w:type="gramStart"/>
      <w:r w:rsidR="00564BCF" w:rsidRPr="00C858BC">
        <w:rPr>
          <w:rFonts w:ascii="Arial" w:hAnsi="Arial" w:cs="Arial"/>
          <w:sz w:val="22"/>
          <w:szCs w:val="22"/>
          <w:vertAlign w:val="superscript"/>
        </w:rPr>
        <w:t>,8,9,10</w:t>
      </w:r>
      <w:proofErr w:type="gramEnd"/>
    </w:p>
    <w:p w14:paraId="1D10B1D4" w14:textId="77777777" w:rsidR="00EE1C88" w:rsidRPr="00C858BC" w:rsidRDefault="00EE1C88" w:rsidP="00C858BC">
      <w:pPr>
        <w:widowControl w:val="0"/>
        <w:tabs>
          <w:tab w:val="left" w:pos="3179"/>
        </w:tabs>
        <w:autoSpaceDE w:val="0"/>
        <w:autoSpaceDN w:val="0"/>
        <w:adjustRightInd w:val="0"/>
        <w:spacing w:line="360" w:lineRule="auto"/>
        <w:rPr>
          <w:rFonts w:ascii="Arial" w:hAnsi="Arial" w:cs="Arial"/>
          <w:sz w:val="22"/>
          <w:szCs w:val="22"/>
          <w:lang w:val="en-GB"/>
        </w:rPr>
      </w:pPr>
    </w:p>
    <w:p w14:paraId="72F9A079" w14:textId="504195F3" w:rsidR="00717E11" w:rsidRPr="00C858BC" w:rsidRDefault="00717E11" w:rsidP="00C858BC">
      <w:pPr>
        <w:widowControl w:val="0"/>
        <w:tabs>
          <w:tab w:val="left" w:pos="3179"/>
        </w:tabs>
        <w:autoSpaceDE w:val="0"/>
        <w:autoSpaceDN w:val="0"/>
        <w:adjustRightInd w:val="0"/>
        <w:spacing w:line="360" w:lineRule="auto"/>
        <w:rPr>
          <w:rFonts w:ascii="Arial" w:hAnsi="Arial" w:cs="Arial"/>
          <w:color w:val="FF0000"/>
          <w:sz w:val="22"/>
          <w:szCs w:val="22"/>
          <w:lang w:val="en-US"/>
        </w:rPr>
      </w:pPr>
      <w:r w:rsidRPr="00C858BC">
        <w:rPr>
          <w:rFonts w:ascii="Arial" w:hAnsi="Arial" w:cs="Arial"/>
          <w:sz w:val="22"/>
          <w:szCs w:val="22"/>
          <w:lang w:val="en-GB"/>
        </w:rPr>
        <w:t xml:space="preserve">Some studies </w:t>
      </w:r>
      <w:r w:rsidR="00EE1C88" w:rsidRPr="00C858BC">
        <w:rPr>
          <w:rFonts w:ascii="Arial" w:hAnsi="Arial" w:cs="Arial"/>
          <w:sz w:val="22"/>
          <w:szCs w:val="22"/>
          <w:lang w:val="en-GB"/>
        </w:rPr>
        <w:t xml:space="preserve">have </w:t>
      </w:r>
      <w:r w:rsidRPr="00C858BC">
        <w:rPr>
          <w:rFonts w:ascii="Arial" w:hAnsi="Arial" w:cs="Arial"/>
          <w:sz w:val="22"/>
          <w:szCs w:val="22"/>
          <w:lang w:val="en-GB"/>
        </w:rPr>
        <w:t>measured frequency of teaching and con</w:t>
      </w:r>
      <w:r w:rsidR="00EE1C88" w:rsidRPr="00C858BC">
        <w:rPr>
          <w:rFonts w:ascii="Arial" w:hAnsi="Arial" w:cs="Arial"/>
          <w:sz w:val="22"/>
          <w:szCs w:val="22"/>
          <w:lang w:val="en-GB"/>
        </w:rPr>
        <w:t>fidence, rather than competence</w:t>
      </w:r>
      <w:r w:rsidR="00A25EBF" w:rsidRPr="00C858BC">
        <w:rPr>
          <w:rFonts w:ascii="Arial" w:hAnsi="Arial" w:cs="Arial"/>
          <w:sz w:val="22"/>
          <w:szCs w:val="22"/>
          <w:lang w:val="en-GB"/>
        </w:rPr>
        <w:t>.</w:t>
      </w:r>
      <w:r w:rsidR="00564BCF" w:rsidRPr="00C858BC">
        <w:rPr>
          <w:rFonts w:ascii="Arial" w:hAnsi="Arial" w:cs="Arial"/>
          <w:sz w:val="22"/>
          <w:szCs w:val="22"/>
          <w:vertAlign w:val="superscript"/>
          <w:lang w:val="en-GB"/>
        </w:rPr>
        <w:t>11</w:t>
      </w:r>
      <w:r w:rsidR="000F4390" w:rsidRPr="00C858BC">
        <w:rPr>
          <w:rFonts w:ascii="Arial" w:hAnsi="Arial" w:cs="Arial"/>
          <w:sz w:val="22"/>
          <w:szCs w:val="22"/>
          <w:lang w:val="en-GB"/>
        </w:rPr>
        <w:t xml:space="preserve"> </w:t>
      </w:r>
      <w:proofErr w:type="gramStart"/>
      <w:r w:rsidR="00EE1C88" w:rsidRPr="00C858BC">
        <w:rPr>
          <w:rFonts w:ascii="Arial" w:hAnsi="Arial" w:cs="Arial"/>
          <w:sz w:val="22"/>
          <w:szCs w:val="22"/>
          <w:lang w:val="en-GB"/>
        </w:rPr>
        <w:t>One</w:t>
      </w:r>
      <w:proofErr w:type="gramEnd"/>
      <w:r w:rsidR="000F4390" w:rsidRPr="00C858BC">
        <w:rPr>
          <w:rFonts w:ascii="Arial" w:hAnsi="Arial" w:cs="Arial"/>
          <w:sz w:val="22"/>
          <w:szCs w:val="22"/>
          <w:lang w:val="en-GB"/>
        </w:rPr>
        <w:t xml:space="preserve"> study </w:t>
      </w:r>
      <w:r w:rsidRPr="00C858BC">
        <w:rPr>
          <w:rFonts w:ascii="Arial" w:hAnsi="Arial" w:cs="Arial"/>
          <w:sz w:val="22"/>
          <w:szCs w:val="22"/>
          <w:lang w:val="en-GB"/>
        </w:rPr>
        <w:t xml:space="preserve">demonstrated that in medical students </w:t>
      </w:r>
      <w:r w:rsidR="000F4390" w:rsidRPr="00C858BC">
        <w:rPr>
          <w:rFonts w:ascii="Arial" w:hAnsi="Arial" w:cs="Arial"/>
          <w:sz w:val="22"/>
          <w:szCs w:val="22"/>
          <w:lang w:val="en-GB"/>
        </w:rPr>
        <w:t>after an</w:t>
      </w:r>
      <w:r w:rsidRPr="00C858BC">
        <w:rPr>
          <w:rFonts w:ascii="Arial" w:hAnsi="Arial" w:cs="Arial"/>
          <w:sz w:val="22"/>
          <w:szCs w:val="22"/>
          <w:lang w:val="en-GB"/>
        </w:rPr>
        <w:t xml:space="preserve"> anaesthesia attachment, neith</w:t>
      </w:r>
      <w:r w:rsidR="000F4390" w:rsidRPr="00C858BC">
        <w:rPr>
          <w:rFonts w:ascii="Arial" w:hAnsi="Arial" w:cs="Arial"/>
          <w:sz w:val="22"/>
          <w:szCs w:val="22"/>
          <w:lang w:val="en-GB"/>
        </w:rPr>
        <w:t>er the number of times a skill wa</w:t>
      </w:r>
      <w:r w:rsidRPr="00C858BC">
        <w:rPr>
          <w:rFonts w:ascii="Arial" w:hAnsi="Arial" w:cs="Arial"/>
          <w:sz w:val="22"/>
          <w:szCs w:val="22"/>
          <w:lang w:val="en-GB"/>
        </w:rPr>
        <w:t>s performed nor the level of confidence o</w:t>
      </w:r>
      <w:r w:rsidR="000F4390" w:rsidRPr="00C858BC">
        <w:rPr>
          <w:rFonts w:ascii="Arial" w:hAnsi="Arial" w:cs="Arial"/>
          <w:sz w:val="22"/>
          <w:szCs w:val="22"/>
          <w:lang w:val="en-GB"/>
        </w:rPr>
        <w:t>f the medical student correlated with competency</w:t>
      </w:r>
      <w:r w:rsidRPr="00C858BC">
        <w:rPr>
          <w:rFonts w:ascii="Arial" w:hAnsi="Arial" w:cs="Arial"/>
          <w:sz w:val="22"/>
          <w:szCs w:val="22"/>
          <w:lang w:val="en-GB"/>
        </w:rPr>
        <w:t xml:space="preserve"> using simul</w:t>
      </w:r>
      <w:r w:rsidR="000F4390" w:rsidRPr="00C858BC">
        <w:rPr>
          <w:rFonts w:ascii="Arial" w:hAnsi="Arial" w:cs="Arial"/>
          <w:sz w:val="22"/>
          <w:szCs w:val="22"/>
          <w:lang w:val="en-GB"/>
        </w:rPr>
        <w:t>ator-based assessment scenarios.</w:t>
      </w:r>
      <w:r w:rsidR="00564BCF" w:rsidRPr="00C858BC">
        <w:rPr>
          <w:rFonts w:ascii="Arial" w:hAnsi="Arial" w:cs="Arial"/>
          <w:sz w:val="22"/>
          <w:szCs w:val="22"/>
          <w:vertAlign w:val="superscript"/>
          <w:lang w:val="en-US"/>
        </w:rPr>
        <w:t>12</w:t>
      </w:r>
    </w:p>
    <w:p w14:paraId="79AC32A6" w14:textId="77777777" w:rsidR="00EE1C88" w:rsidRPr="00C858BC" w:rsidRDefault="00EE1C88" w:rsidP="00C858BC">
      <w:pPr>
        <w:widowControl w:val="0"/>
        <w:tabs>
          <w:tab w:val="left" w:pos="3179"/>
        </w:tabs>
        <w:autoSpaceDE w:val="0"/>
        <w:autoSpaceDN w:val="0"/>
        <w:adjustRightInd w:val="0"/>
        <w:spacing w:line="360" w:lineRule="auto"/>
        <w:rPr>
          <w:rFonts w:ascii="Arial" w:hAnsi="Arial" w:cs="Arial"/>
          <w:color w:val="FF0000"/>
          <w:sz w:val="22"/>
          <w:szCs w:val="22"/>
          <w:lang w:val="en-US"/>
        </w:rPr>
      </w:pPr>
    </w:p>
    <w:p w14:paraId="318C91B0" w14:textId="27FAB596" w:rsidR="00BE69BC" w:rsidRPr="00C858BC" w:rsidRDefault="00BE69BC" w:rsidP="00C858BC">
      <w:pPr>
        <w:widowControl w:val="0"/>
        <w:tabs>
          <w:tab w:val="left" w:pos="3179"/>
        </w:tabs>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ab/>
      </w:r>
    </w:p>
    <w:p w14:paraId="2B41CE6C" w14:textId="0BC15CAA" w:rsidR="005A627D" w:rsidRPr="00C858BC" w:rsidRDefault="00AC78C9" w:rsidP="00C858BC">
      <w:pPr>
        <w:widowControl w:val="0"/>
        <w:autoSpaceDE w:val="0"/>
        <w:autoSpaceDN w:val="0"/>
        <w:adjustRightInd w:val="0"/>
        <w:spacing w:line="360" w:lineRule="auto"/>
        <w:rPr>
          <w:rFonts w:ascii="Arial" w:hAnsi="Arial" w:cs="Arial"/>
          <w:b/>
          <w:sz w:val="22"/>
          <w:szCs w:val="22"/>
          <w:u w:val="single"/>
          <w:lang w:val="en-US"/>
        </w:rPr>
      </w:pPr>
      <w:r w:rsidRPr="00C858BC">
        <w:rPr>
          <w:rFonts w:ascii="Arial" w:hAnsi="Arial" w:cs="Arial"/>
          <w:b/>
          <w:sz w:val="22"/>
          <w:szCs w:val="22"/>
          <w:u w:val="single"/>
          <w:lang w:val="en-US"/>
        </w:rPr>
        <w:t>Are there b</w:t>
      </w:r>
      <w:r w:rsidR="005A627D" w:rsidRPr="00C858BC">
        <w:rPr>
          <w:rFonts w:ascii="Arial" w:hAnsi="Arial" w:cs="Arial"/>
          <w:b/>
          <w:sz w:val="22"/>
          <w:szCs w:val="22"/>
          <w:u w:val="single"/>
          <w:lang w:val="en-US"/>
        </w:rPr>
        <w:t xml:space="preserve">arriers to teaching anaesthesia at </w:t>
      </w:r>
      <w:r w:rsidRPr="00C858BC">
        <w:rPr>
          <w:rFonts w:ascii="Arial" w:hAnsi="Arial" w:cs="Arial"/>
          <w:b/>
          <w:sz w:val="22"/>
          <w:szCs w:val="22"/>
          <w:u w:val="single"/>
          <w:lang w:val="en-US"/>
        </w:rPr>
        <w:t xml:space="preserve">an </w:t>
      </w:r>
      <w:r w:rsidR="005A627D" w:rsidRPr="00C858BC">
        <w:rPr>
          <w:rFonts w:ascii="Arial" w:hAnsi="Arial" w:cs="Arial"/>
          <w:b/>
          <w:sz w:val="22"/>
          <w:szCs w:val="22"/>
          <w:u w:val="single"/>
          <w:lang w:val="en-US"/>
        </w:rPr>
        <w:t>undergraduate level</w:t>
      </w:r>
      <w:r w:rsidRPr="00C858BC">
        <w:rPr>
          <w:rFonts w:ascii="Arial" w:hAnsi="Arial" w:cs="Arial"/>
          <w:b/>
          <w:sz w:val="22"/>
          <w:szCs w:val="22"/>
          <w:u w:val="single"/>
          <w:lang w:val="en-US"/>
        </w:rPr>
        <w:t>?</w:t>
      </w:r>
    </w:p>
    <w:p w14:paraId="1698DCAE" w14:textId="35614B8E" w:rsidR="00E023D5" w:rsidRPr="00C858BC" w:rsidRDefault="00550B53"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There are </w:t>
      </w:r>
      <w:r w:rsidR="00E023D5" w:rsidRPr="00C858BC">
        <w:rPr>
          <w:rFonts w:ascii="Arial" w:hAnsi="Arial" w:cs="Arial"/>
          <w:sz w:val="22"/>
          <w:szCs w:val="22"/>
          <w:lang w:val="en-US"/>
        </w:rPr>
        <w:t>a n</w:t>
      </w:r>
      <w:r w:rsidR="00AC78C9" w:rsidRPr="00C858BC">
        <w:rPr>
          <w:rFonts w:ascii="Arial" w:hAnsi="Arial" w:cs="Arial"/>
          <w:sz w:val="22"/>
          <w:szCs w:val="22"/>
          <w:lang w:val="en-US"/>
        </w:rPr>
        <w:t>umber of barriers to overcome to increase</w:t>
      </w:r>
      <w:r w:rsidR="00E023D5" w:rsidRPr="00C858BC">
        <w:rPr>
          <w:rFonts w:ascii="Arial" w:hAnsi="Arial" w:cs="Arial"/>
          <w:sz w:val="22"/>
          <w:szCs w:val="22"/>
          <w:lang w:val="en-US"/>
        </w:rPr>
        <w:t xml:space="preserve"> the exposure of </w:t>
      </w:r>
      <w:r w:rsidRPr="00C858BC">
        <w:rPr>
          <w:rFonts w:ascii="Arial" w:hAnsi="Arial" w:cs="Arial"/>
          <w:sz w:val="22"/>
          <w:szCs w:val="22"/>
          <w:lang w:val="en-US"/>
        </w:rPr>
        <w:t xml:space="preserve">medical students to </w:t>
      </w:r>
      <w:r w:rsidR="00AC78C9" w:rsidRPr="00C858BC">
        <w:rPr>
          <w:rFonts w:ascii="Arial" w:hAnsi="Arial" w:cs="Arial"/>
          <w:sz w:val="22"/>
          <w:szCs w:val="22"/>
          <w:lang w:val="en-US"/>
        </w:rPr>
        <w:t xml:space="preserve">an </w:t>
      </w:r>
      <w:r w:rsidRPr="00C858BC">
        <w:rPr>
          <w:rFonts w:ascii="Arial" w:hAnsi="Arial" w:cs="Arial"/>
          <w:sz w:val="22"/>
          <w:szCs w:val="22"/>
          <w:lang w:val="en-US"/>
        </w:rPr>
        <w:t>a</w:t>
      </w:r>
      <w:r w:rsidR="00AC78C9" w:rsidRPr="00C858BC">
        <w:rPr>
          <w:rFonts w:ascii="Arial" w:hAnsi="Arial" w:cs="Arial"/>
          <w:sz w:val="22"/>
          <w:szCs w:val="22"/>
          <w:lang w:val="en-US"/>
        </w:rPr>
        <w:t xml:space="preserve">naesthesia </w:t>
      </w:r>
      <w:r w:rsidR="00C52DD3" w:rsidRPr="00C858BC">
        <w:rPr>
          <w:rFonts w:ascii="Arial" w:hAnsi="Arial" w:cs="Arial"/>
          <w:sz w:val="22"/>
          <w:szCs w:val="22"/>
          <w:lang w:val="en-US"/>
        </w:rPr>
        <w:t>curriculum.</w:t>
      </w:r>
    </w:p>
    <w:p w14:paraId="0156B1B7" w14:textId="77777777" w:rsidR="00053080" w:rsidRPr="00C858BC" w:rsidRDefault="00053080" w:rsidP="00C858BC">
      <w:pPr>
        <w:widowControl w:val="0"/>
        <w:autoSpaceDE w:val="0"/>
        <w:autoSpaceDN w:val="0"/>
        <w:adjustRightInd w:val="0"/>
        <w:spacing w:line="360" w:lineRule="auto"/>
        <w:rPr>
          <w:rFonts w:ascii="Arial" w:hAnsi="Arial" w:cs="Arial"/>
          <w:sz w:val="22"/>
          <w:szCs w:val="22"/>
          <w:lang w:val="en-US"/>
        </w:rPr>
      </w:pPr>
    </w:p>
    <w:p w14:paraId="24103F43" w14:textId="3BE02F8D" w:rsidR="009F216D" w:rsidRPr="00C858BC" w:rsidRDefault="009F216D" w:rsidP="00C858BC">
      <w:pPr>
        <w:pStyle w:val="ListParagraph"/>
        <w:widowControl w:val="0"/>
        <w:numPr>
          <w:ilvl w:val="0"/>
          <w:numId w:val="1"/>
        </w:numPr>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Importance of topic. Anecdotally, many medical schools may still consider that anaesthesia as a topic is not a high priority in their student curriculum. Some may have not yet </w:t>
      </w:r>
      <w:r w:rsidR="00AC78C9" w:rsidRPr="00C858BC">
        <w:rPr>
          <w:rFonts w:ascii="Arial" w:hAnsi="Arial" w:cs="Arial"/>
          <w:sz w:val="22"/>
          <w:szCs w:val="22"/>
          <w:lang w:val="en-US"/>
        </w:rPr>
        <w:t xml:space="preserve">have </w:t>
      </w:r>
      <w:r w:rsidRPr="00C858BC">
        <w:rPr>
          <w:rFonts w:ascii="Arial" w:hAnsi="Arial" w:cs="Arial"/>
          <w:sz w:val="22"/>
          <w:szCs w:val="22"/>
          <w:lang w:val="en-US"/>
        </w:rPr>
        <w:t>realized that anaesthetists are ideally placed, and willing</w:t>
      </w:r>
      <w:r w:rsidR="00AC78C9" w:rsidRPr="00C858BC">
        <w:rPr>
          <w:rFonts w:ascii="Arial" w:hAnsi="Arial" w:cs="Arial"/>
          <w:sz w:val="22"/>
          <w:szCs w:val="22"/>
          <w:lang w:val="en-US"/>
        </w:rPr>
        <w:t>, to</w:t>
      </w:r>
      <w:r w:rsidRPr="00C858BC">
        <w:rPr>
          <w:rFonts w:ascii="Arial" w:hAnsi="Arial" w:cs="Arial"/>
          <w:sz w:val="22"/>
          <w:szCs w:val="22"/>
          <w:lang w:val="en-US"/>
        </w:rPr>
        <w:t xml:space="preserve"> teach many important knowledge and skills topics under the broader umbrella</w:t>
      </w:r>
      <w:r w:rsidR="00BE69BC" w:rsidRPr="00C858BC">
        <w:rPr>
          <w:rFonts w:ascii="Arial" w:hAnsi="Arial" w:cs="Arial"/>
          <w:sz w:val="22"/>
          <w:szCs w:val="22"/>
          <w:lang w:val="en-US"/>
        </w:rPr>
        <w:t xml:space="preserve"> of peri</w:t>
      </w:r>
      <w:r w:rsidRPr="00C858BC">
        <w:rPr>
          <w:rFonts w:ascii="Arial" w:hAnsi="Arial" w:cs="Arial"/>
          <w:sz w:val="22"/>
          <w:szCs w:val="22"/>
          <w:lang w:val="en-US"/>
        </w:rPr>
        <w:t>operative medicine.</w:t>
      </w:r>
    </w:p>
    <w:p w14:paraId="1D41E6F9" w14:textId="02A70694" w:rsidR="009F216D" w:rsidRPr="00C858BC" w:rsidRDefault="009F216D" w:rsidP="00C858BC">
      <w:pPr>
        <w:pStyle w:val="ListParagraph"/>
        <w:widowControl w:val="0"/>
        <w:numPr>
          <w:ilvl w:val="0"/>
          <w:numId w:val="1"/>
        </w:numPr>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Timing. Immersive </w:t>
      </w:r>
      <w:r w:rsidR="002C7AD7" w:rsidRPr="00C858BC">
        <w:rPr>
          <w:rFonts w:ascii="Arial" w:hAnsi="Arial" w:cs="Arial"/>
          <w:sz w:val="22"/>
          <w:szCs w:val="22"/>
          <w:lang w:val="en-US"/>
        </w:rPr>
        <w:t>teaching in peri</w:t>
      </w:r>
      <w:r w:rsidRPr="00C858BC">
        <w:rPr>
          <w:rFonts w:ascii="Arial" w:hAnsi="Arial" w:cs="Arial"/>
          <w:sz w:val="22"/>
          <w:szCs w:val="22"/>
          <w:lang w:val="en-US"/>
        </w:rPr>
        <w:t xml:space="preserve">operative medicine is probably best placed </w:t>
      </w:r>
      <w:r w:rsidRPr="00C858BC">
        <w:rPr>
          <w:rFonts w:ascii="Arial" w:hAnsi="Arial" w:cs="Arial"/>
          <w:sz w:val="22"/>
          <w:szCs w:val="22"/>
          <w:lang w:val="en-US"/>
        </w:rPr>
        <w:lastRenderedPageBreak/>
        <w:t>in the later years of the student curriculum. Access to students at this time may be difficult as they stream into other clinical areas as well as elective sessions.</w:t>
      </w:r>
    </w:p>
    <w:p w14:paraId="74A831F0" w14:textId="4CD4B061" w:rsidR="00053080" w:rsidRPr="00C858BC" w:rsidRDefault="00872D3B" w:rsidP="00C858BC">
      <w:pPr>
        <w:pStyle w:val="ListParagraph"/>
        <w:widowControl w:val="0"/>
        <w:numPr>
          <w:ilvl w:val="0"/>
          <w:numId w:val="1"/>
        </w:numPr>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Availability. Students </w:t>
      </w:r>
      <w:r w:rsidR="00944678" w:rsidRPr="00C858BC">
        <w:rPr>
          <w:rFonts w:ascii="Arial" w:hAnsi="Arial" w:cs="Arial"/>
          <w:sz w:val="22"/>
          <w:szCs w:val="22"/>
          <w:lang w:val="en-US"/>
        </w:rPr>
        <w:t xml:space="preserve">are </w:t>
      </w:r>
      <w:r w:rsidRPr="00C858BC">
        <w:rPr>
          <w:rFonts w:ascii="Arial" w:hAnsi="Arial" w:cs="Arial"/>
          <w:sz w:val="22"/>
          <w:szCs w:val="22"/>
          <w:lang w:val="en-US"/>
        </w:rPr>
        <w:t>often scheduled for regular weekly activities either on campus or in various healthcare settings that can pull them away from a block of time devoted to a hospital-based specialty such as anaesthesia. Overcoming this issue</w:t>
      </w:r>
      <w:r w:rsidR="00AC78C9" w:rsidRPr="00C858BC">
        <w:rPr>
          <w:rFonts w:ascii="Arial" w:hAnsi="Arial" w:cs="Arial"/>
          <w:sz w:val="22"/>
          <w:szCs w:val="22"/>
          <w:lang w:val="en-US"/>
        </w:rPr>
        <w:t xml:space="preserve"> if a block of training time is preferred</w:t>
      </w:r>
      <w:r w:rsidRPr="00C858BC">
        <w:rPr>
          <w:rFonts w:ascii="Arial" w:hAnsi="Arial" w:cs="Arial"/>
          <w:sz w:val="22"/>
          <w:szCs w:val="22"/>
          <w:lang w:val="en-US"/>
        </w:rPr>
        <w:t xml:space="preserve"> may require extensive negotiations with the medical school. </w:t>
      </w:r>
    </w:p>
    <w:p w14:paraId="7835BBEB" w14:textId="25EB26D7" w:rsidR="009F216D" w:rsidRPr="00C858BC" w:rsidRDefault="009F216D" w:rsidP="00C858BC">
      <w:pPr>
        <w:pStyle w:val="ListParagraph"/>
        <w:numPr>
          <w:ilvl w:val="0"/>
          <w:numId w:val="1"/>
        </w:numPr>
        <w:spacing w:line="360" w:lineRule="auto"/>
        <w:rPr>
          <w:rFonts w:ascii="Arial" w:hAnsi="Arial" w:cs="Arial"/>
          <w:sz w:val="22"/>
          <w:szCs w:val="22"/>
          <w:lang w:val="en-US"/>
        </w:rPr>
      </w:pPr>
      <w:r w:rsidRPr="00C858BC">
        <w:rPr>
          <w:rFonts w:ascii="Arial" w:hAnsi="Arial" w:cs="Arial"/>
          <w:sz w:val="22"/>
          <w:szCs w:val="22"/>
          <w:lang w:val="en-US"/>
        </w:rPr>
        <w:t xml:space="preserve">Faculty. Anaesthetists have varying degrees of training and interest in teaching students, as well as varying degrees of knowledge about and interest in the medical school </w:t>
      </w:r>
      <w:r w:rsidR="00AC78C9" w:rsidRPr="00C858BC">
        <w:rPr>
          <w:rFonts w:ascii="Arial" w:hAnsi="Arial" w:cs="Arial"/>
          <w:sz w:val="22"/>
          <w:szCs w:val="22"/>
          <w:lang w:val="en-US"/>
        </w:rPr>
        <w:t>curriculum</w:t>
      </w:r>
      <w:r w:rsidRPr="00C858BC">
        <w:rPr>
          <w:rFonts w:ascii="Arial" w:hAnsi="Arial" w:cs="Arial"/>
          <w:sz w:val="22"/>
          <w:szCs w:val="22"/>
          <w:lang w:val="en-US"/>
        </w:rPr>
        <w:t>.</w:t>
      </w:r>
    </w:p>
    <w:p w14:paraId="25BE05C8" w14:textId="0221D238" w:rsidR="009F216D" w:rsidRPr="00C858BC" w:rsidRDefault="009F216D" w:rsidP="00C858BC">
      <w:pPr>
        <w:pStyle w:val="ListParagraph"/>
        <w:widowControl w:val="0"/>
        <w:numPr>
          <w:ilvl w:val="0"/>
          <w:numId w:val="1"/>
        </w:numPr>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Organisation. Anaesthetists are often accompanied in theatre by </w:t>
      </w:r>
      <w:r w:rsidR="00AC78C9" w:rsidRPr="00C858BC">
        <w:rPr>
          <w:rFonts w:ascii="Arial" w:hAnsi="Arial" w:cs="Arial"/>
          <w:sz w:val="22"/>
          <w:szCs w:val="22"/>
          <w:lang w:val="en-US"/>
        </w:rPr>
        <w:t>j</w:t>
      </w:r>
      <w:r w:rsidRPr="00C858BC">
        <w:rPr>
          <w:rFonts w:ascii="Arial" w:hAnsi="Arial" w:cs="Arial"/>
          <w:sz w:val="22"/>
          <w:szCs w:val="22"/>
          <w:lang w:val="en-US"/>
        </w:rPr>
        <w:t>unior staff such as junior anaesthesia trainees, emergency medicine trainees, ICU trainees</w:t>
      </w:r>
      <w:r w:rsidR="0071228F" w:rsidRPr="00C858BC">
        <w:rPr>
          <w:rFonts w:ascii="Arial" w:hAnsi="Arial" w:cs="Arial"/>
          <w:sz w:val="22"/>
          <w:szCs w:val="22"/>
          <w:lang w:val="en-US"/>
        </w:rPr>
        <w:t>,</w:t>
      </w:r>
      <w:r w:rsidRPr="00C858BC">
        <w:rPr>
          <w:rFonts w:ascii="Arial" w:hAnsi="Arial" w:cs="Arial"/>
          <w:sz w:val="22"/>
          <w:szCs w:val="22"/>
          <w:lang w:val="en-US"/>
        </w:rPr>
        <w:t xml:space="preserve"> and others seeking airway experience. </w:t>
      </w:r>
      <w:r w:rsidR="00AC78C9" w:rsidRPr="00C858BC">
        <w:rPr>
          <w:rFonts w:ascii="Arial" w:hAnsi="Arial" w:cs="Arial"/>
          <w:sz w:val="22"/>
          <w:szCs w:val="22"/>
          <w:lang w:val="en-US"/>
        </w:rPr>
        <w:t>T</w:t>
      </w:r>
      <w:r w:rsidRPr="00C858BC">
        <w:rPr>
          <w:rFonts w:ascii="Arial" w:hAnsi="Arial" w:cs="Arial"/>
          <w:sz w:val="22"/>
          <w:szCs w:val="22"/>
          <w:lang w:val="en-US"/>
        </w:rPr>
        <w:t xml:space="preserve">he ‘burden’ of yet another student can result in less enthusiastic teaching. It may be necessary at times to have both a trainee and a medical student rostered to a theatre, necessitating division of time and attention between the two. In larger anaesthesia departments it is difficult to ensure that teaching is consistent between teachers. Smaller clinical school </w:t>
      </w:r>
      <w:r w:rsidR="00AC78C9" w:rsidRPr="00C858BC">
        <w:rPr>
          <w:rFonts w:ascii="Arial" w:hAnsi="Arial" w:cs="Arial"/>
          <w:sz w:val="22"/>
          <w:szCs w:val="22"/>
          <w:lang w:val="en-US"/>
        </w:rPr>
        <w:t>departments</w:t>
      </w:r>
      <w:r w:rsidRPr="00C858BC">
        <w:rPr>
          <w:rFonts w:ascii="Arial" w:hAnsi="Arial" w:cs="Arial"/>
          <w:sz w:val="22"/>
          <w:szCs w:val="22"/>
          <w:lang w:val="en-US"/>
        </w:rPr>
        <w:t xml:space="preserve"> have fewer theatres running on a daily basis and asking students attend as a large group is unrealistic. The number of students that can be accommodated for in-theatre teaching is limited by the size and enthusiasm of the department.</w:t>
      </w:r>
    </w:p>
    <w:p w14:paraId="16864CD8" w14:textId="493DC0A0" w:rsidR="009F216D" w:rsidRPr="00C858BC" w:rsidRDefault="003855C0" w:rsidP="00C858BC">
      <w:pPr>
        <w:pStyle w:val="ListParagraph"/>
        <w:numPr>
          <w:ilvl w:val="0"/>
          <w:numId w:val="1"/>
        </w:numPr>
        <w:spacing w:line="360" w:lineRule="auto"/>
        <w:rPr>
          <w:rFonts w:ascii="Arial" w:hAnsi="Arial" w:cs="Arial"/>
          <w:sz w:val="22"/>
          <w:szCs w:val="22"/>
          <w:lang w:val="en-US"/>
        </w:rPr>
      </w:pPr>
      <w:r w:rsidRPr="00C858BC">
        <w:rPr>
          <w:rFonts w:ascii="Arial" w:hAnsi="Arial" w:cs="Arial"/>
          <w:sz w:val="22"/>
          <w:szCs w:val="22"/>
          <w:lang w:val="en-US"/>
        </w:rPr>
        <w:t>Co-existence with surgery. Many students will be more interested in the procedure than the anaesthesia, especially as surgery occupies more prominence in their curricula. Students’ perceptions of the learning experience can vary with how ‘exciting’ they think the procedure is. This natural reaction on the part of the student misses the point of the in-theatre teaching of perioperative medicine, pain and anaesthesia, which can occur regardless of the case being undertaken. It is often easier for the teacher to engage with the student when the surgical case and accompanying anaesthesia are of lower acuity.</w:t>
      </w:r>
    </w:p>
    <w:p w14:paraId="4DC5DD57" w14:textId="77777777" w:rsidR="00053080" w:rsidRPr="00C858BC" w:rsidRDefault="00053080" w:rsidP="00C858BC">
      <w:pPr>
        <w:widowControl w:val="0"/>
        <w:autoSpaceDE w:val="0"/>
        <w:autoSpaceDN w:val="0"/>
        <w:adjustRightInd w:val="0"/>
        <w:spacing w:line="360" w:lineRule="auto"/>
        <w:rPr>
          <w:rFonts w:ascii="Arial" w:hAnsi="Arial" w:cs="Arial"/>
          <w:sz w:val="22"/>
          <w:szCs w:val="22"/>
          <w:lang w:val="en-US"/>
        </w:rPr>
      </w:pPr>
    </w:p>
    <w:p w14:paraId="143E1571" w14:textId="77777777" w:rsidR="00AC1B93" w:rsidRPr="00C858BC" w:rsidRDefault="00AC1B93" w:rsidP="00C858BC">
      <w:pPr>
        <w:widowControl w:val="0"/>
        <w:autoSpaceDE w:val="0"/>
        <w:autoSpaceDN w:val="0"/>
        <w:adjustRightInd w:val="0"/>
        <w:spacing w:line="360" w:lineRule="auto"/>
        <w:rPr>
          <w:rFonts w:ascii="Arial" w:hAnsi="Arial" w:cs="Arial"/>
          <w:sz w:val="22"/>
          <w:szCs w:val="22"/>
          <w:lang w:val="en-US"/>
        </w:rPr>
      </w:pPr>
    </w:p>
    <w:p w14:paraId="3AC93F54" w14:textId="75ED896B" w:rsidR="005A627D" w:rsidRPr="00C858BC" w:rsidRDefault="00AC78C9" w:rsidP="00C858BC">
      <w:pPr>
        <w:widowControl w:val="0"/>
        <w:autoSpaceDE w:val="0"/>
        <w:autoSpaceDN w:val="0"/>
        <w:adjustRightInd w:val="0"/>
        <w:spacing w:line="360" w:lineRule="auto"/>
        <w:rPr>
          <w:rFonts w:ascii="Arial" w:hAnsi="Arial" w:cs="Arial"/>
          <w:b/>
          <w:sz w:val="22"/>
          <w:szCs w:val="22"/>
          <w:u w:val="single"/>
          <w:lang w:val="en-US"/>
        </w:rPr>
      </w:pPr>
      <w:r w:rsidRPr="00C858BC">
        <w:rPr>
          <w:rFonts w:ascii="Arial" w:hAnsi="Arial" w:cs="Arial"/>
          <w:b/>
          <w:sz w:val="22"/>
          <w:szCs w:val="22"/>
          <w:u w:val="single"/>
          <w:lang w:val="en-US"/>
        </w:rPr>
        <w:t>Should we be teaching a</w:t>
      </w:r>
      <w:r w:rsidR="005A627D" w:rsidRPr="00C858BC">
        <w:rPr>
          <w:rFonts w:ascii="Arial" w:hAnsi="Arial" w:cs="Arial"/>
          <w:b/>
          <w:sz w:val="22"/>
          <w:szCs w:val="22"/>
          <w:u w:val="single"/>
          <w:lang w:val="en-US"/>
        </w:rPr>
        <w:t xml:space="preserve">irway and other </w:t>
      </w:r>
      <w:r w:rsidRPr="00C858BC">
        <w:rPr>
          <w:rFonts w:ascii="Arial" w:hAnsi="Arial" w:cs="Arial"/>
          <w:b/>
          <w:sz w:val="22"/>
          <w:szCs w:val="22"/>
          <w:u w:val="single"/>
          <w:lang w:val="en-US"/>
        </w:rPr>
        <w:t xml:space="preserve">procedural </w:t>
      </w:r>
      <w:r w:rsidR="005A627D" w:rsidRPr="00C858BC">
        <w:rPr>
          <w:rFonts w:ascii="Arial" w:hAnsi="Arial" w:cs="Arial"/>
          <w:b/>
          <w:sz w:val="22"/>
          <w:szCs w:val="22"/>
          <w:u w:val="single"/>
          <w:lang w:val="en-US"/>
        </w:rPr>
        <w:t xml:space="preserve">skills </w:t>
      </w:r>
      <w:r w:rsidRPr="00C858BC">
        <w:rPr>
          <w:rFonts w:ascii="Arial" w:hAnsi="Arial" w:cs="Arial"/>
          <w:b/>
          <w:sz w:val="22"/>
          <w:szCs w:val="22"/>
          <w:u w:val="single"/>
          <w:lang w:val="en-US"/>
        </w:rPr>
        <w:t xml:space="preserve">to </w:t>
      </w:r>
      <w:r w:rsidR="005A627D" w:rsidRPr="00C858BC">
        <w:rPr>
          <w:rFonts w:ascii="Arial" w:hAnsi="Arial" w:cs="Arial"/>
          <w:b/>
          <w:sz w:val="22"/>
          <w:szCs w:val="22"/>
          <w:u w:val="single"/>
          <w:lang w:val="en-US"/>
        </w:rPr>
        <w:t>medical students</w:t>
      </w:r>
      <w:r w:rsidRPr="00C858BC">
        <w:rPr>
          <w:rFonts w:ascii="Arial" w:hAnsi="Arial" w:cs="Arial"/>
          <w:b/>
          <w:sz w:val="22"/>
          <w:szCs w:val="22"/>
          <w:u w:val="single"/>
          <w:lang w:val="en-US"/>
        </w:rPr>
        <w:t>?</w:t>
      </w:r>
    </w:p>
    <w:p w14:paraId="03BC2A3F" w14:textId="7ED836D7" w:rsidR="000F4390" w:rsidRPr="00C858BC" w:rsidRDefault="00BE07CA"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There is now a published consensus that our medical students do not need to learn the skill of endotracheal intubation.</w:t>
      </w:r>
      <w:r w:rsidR="00564BCF" w:rsidRPr="00C858BC">
        <w:rPr>
          <w:rFonts w:ascii="Arial" w:hAnsi="Arial" w:cs="Arial"/>
          <w:sz w:val="22"/>
          <w:szCs w:val="22"/>
          <w:vertAlign w:val="superscript"/>
          <w:lang w:val="en-US"/>
        </w:rPr>
        <w:t>6</w:t>
      </w:r>
      <w:r w:rsidRPr="00C858BC">
        <w:rPr>
          <w:rFonts w:ascii="Arial" w:hAnsi="Arial" w:cs="Arial"/>
          <w:sz w:val="22"/>
          <w:szCs w:val="22"/>
          <w:lang w:val="en-US"/>
        </w:rPr>
        <w:t xml:space="preserve"> </w:t>
      </w:r>
      <w:proofErr w:type="gramStart"/>
      <w:r w:rsidRPr="00C858BC">
        <w:rPr>
          <w:rFonts w:ascii="Arial" w:hAnsi="Arial" w:cs="Arial"/>
          <w:sz w:val="22"/>
          <w:szCs w:val="22"/>
          <w:lang w:val="en-US"/>
        </w:rPr>
        <w:t>Other</w:t>
      </w:r>
      <w:proofErr w:type="gramEnd"/>
      <w:r w:rsidRPr="00C858BC">
        <w:rPr>
          <w:rFonts w:ascii="Arial" w:hAnsi="Arial" w:cs="Arial"/>
          <w:sz w:val="22"/>
          <w:szCs w:val="22"/>
          <w:lang w:val="en-US"/>
        </w:rPr>
        <w:t xml:space="preserve"> more basic airway skills are however considered essential. Assessment of the airway, bag and mask ventilation, simple </w:t>
      </w:r>
      <w:r w:rsidRPr="00C858BC">
        <w:rPr>
          <w:rFonts w:ascii="Arial" w:hAnsi="Arial" w:cs="Arial"/>
          <w:sz w:val="22"/>
          <w:szCs w:val="22"/>
          <w:lang w:val="en-US"/>
        </w:rPr>
        <w:lastRenderedPageBreak/>
        <w:t>airway manoeuvers, and insertion of a Guedel airway and LMA</w:t>
      </w:r>
      <w:r w:rsidR="00B37570" w:rsidRPr="00C858BC">
        <w:rPr>
          <w:rFonts w:ascii="Arial" w:hAnsi="Arial" w:cs="Arial"/>
          <w:sz w:val="22"/>
          <w:szCs w:val="22"/>
          <w:lang w:val="en-US"/>
        </w:rPr>
        <w:t xml:space="preserve"> are </w:t>
      </w:r>
      <w:r w:rsidRPr="00C858BC">
        <w:rPr>
          <w:rFonts w:ascii="Arial" w:hAnsi="Arial" w:cs="Arial"/>
          <w:sz w:val="22"/>
          <w:szCs w:val="22"/>
          <w:lang w:val="en-US"/>
        </w:rPr>
        <w:t xml:space="preserve">skills reported as </w:t>
      </w:r>
      <w:r w:rsidR="00B37570" w:rsidRPr="00C858BC">
        <w:rPr>
          <w:rFonts w:ascii="Arial" w:hAnsi="Arial" w:cs="Arial"/>
          <w:sz w:val="22"/>
          <w:szCs w:val="22"/>
          <w:lang w:val="en-US"/>
        </w:rPr>
        <w:t xml:space="preserve">being standard </w:t>
      </w:r>
      <w:r w:rsidRPr="00C858BC">
        <w:rPr>
          <w:rFonts w:ascii="Arial" w:hAnsi="Arial" w:cs="Arial"/>
          <w:sz w:val="22"/>
          <w:szCs w:val="22"/>
          <w:lang w:val="en-US"/>
        </w:rPr>
        <w:t>expectations</w:t>
      </w:r>
      <w:r w:rsidR="00B37570" w:rsidRPr="00C858BC">
        <w:rPr>
          <w:rFonts w:ascii="Arial" w:hAnsi="Arial" w:cs="Arial"/>
          <w:sz w:val="22"/>
          <w:szCs w:val="22"/>
          <w:lang w:val="en-US"/>
        </w:rPr>
        <w:t xml:space="preserve"> of junior doctors. Anaesthesia teaching may be the best or even at times the only place that all could be routinely taught.</w:t>
      </w:r>
    </w:p>
    <w:p w14:paraId="597968A9" w14:textId="64AD640A" w:rsidR="00BE07CA" w:rsidRPr="00C858BC" w:rsidRDefault="00B37570"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 </w:t>
      </w:r>
    </w:p>
    <w:p w14:paraId="4E7F4663" w14:textId="4DFE86CD" w:rsidR="000F4390" w:rsidRPr="00C858BC" w:rsidRDefault="000F4390"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A survey of graduates from the University of Auckland found that year one doctors did not perform tracheal intubations, but they did perform bag mask ventilation and insert LMAs, both supervised and unsupervised. 70 – 80 percent had participated actively in an arrest / medical emergency team in this first year of practice.</w:t>
      </w:r>
      <w:r w:rsidR="00564BCF" w:rsidRPr="00C858BC">
        <w:rPr>
          <w:rFonts w:ascii="Arial" w:hAnsi="Arial" w:cs="Arial"/>
          <w:sz w:val="22"/>
          <w:szCs w:val="22"/>
          <w:vertAlign w:val="superscript"/>
          <w:lang w:val="en-US"/>
        </w:rPr>
        <w:t>13</w:t>
      </w:r>
    </w:p>
    <w:p w14:paraId="103DA15F" w14:textId="77777777" w:rsidR="00BE07CA" w:rsidRPr="00C858BC" w:rsidRDefault="00BE07CA" w:rsidP="00C858BC">
      <w:pPr>
        <w:widowControl w:val="0"/>
        <w:autoSpaceDE w:val="0"/>
        <w:autoSpaceDN w:val="0"/>
        <w:adjustRightInd w:val="0"/>
        <w:spacing w:line="360" w:lineRule="auto"/>
        <w:rPr>
          <w:rFonts w:ascii="Arial" w:hAnsi="Arial" w:cs="Arial"/>
          <w:sz w:val="22"/>
          <w:szCs w:val="22"/>
          <w:lang w:val="en-US"/>
        </w:rPr>
      </w:pPr>
    </w:p>
    <w:p w14:paraId="6D9ED0F4" w14:textId="20C4910D" w:rsidR="00BE07CA" w:rsidRPr="00C858BC" w:rsidRDefault="00BE07CA"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The </w:t>
      </w:r>
      <w:r w:rsidR="00B37570" w:rsidRPr="00C858BC">
        <w:rPr>
          <w:rFonts w:ascii="Arial" w:hAnsi="Arial" w:cs="Arial"/>
          <w:sz w:val="22"/>
          <w:szCs w:val="22"/>
          <w:lang w:val="en-US"/>
        </w:rPr>
        <w:t>number of learners competing for in theatre airway practice is an increasing problem</w:t>
      </w:r>
      <w:r w:rsidRPr="00C858BC">
        <w:rPr>
          <w:rFonts w:ascii="Arial" w:hAnsi="Arial" w:cs="Arial"/>
          <w:sz w:val="22"/>
          <w:szCs w:val="22"/>
          <w:lang w:val="en-US"/>
        </w:rPr>
        <w:t>.</w:t>
      </w:r>
      <w:r w:rsidR="00B37570" w:rsidRPr="00C858BC">
        <w:rPr>
          <w:rFonts w:ascii="Arial" w:hAnsi="Arial" w:cs="Arial"/>
          <w:sz w:val="22"/>
          <w:szCs w:val="22"/>
          <w:lang w:val="en-US"/>
        </w:rPr>
        <w:t xml:space="preserve"> Local data suggests that </w:t>
      </w:r>
      <w:r w:rsidR="00E67E0B" w:rsidRPr="00C858BC">
        <w:rPr>
          <w:rFonts w:ascii="Arial" w:hAnsi="Arial" w:cs="Arial"/>
          <w:sz w:val="22"/>
          <w:szCs w:val="22"/>
          <w:lang w:val="en-US"/>
        </w:rPr>
        <w:t xml:space="preserve">even </w:t>
      </w:r>
      <w:r w:rsidR="00B37570" w:rsidRPr="00C858BC">
        <w:rPr>
          <w:rFonts w:ascii="Arial" w:hAnsi="Arial" w:cs="Arial"/>
          <w:sz w:val="22"/>
          <w:szCs w:val="22"/>
          <w:lang w:val="en-US"/>
        </w:rPr>
        <w:t>a</w:t>
      </w:r>
      <w:r w:rsidRPr="00C858BC">
        <w:rPr>
          <w:rFonts w:ascii="Arial" w:hAnsi="Arial" w:cs="Arial"/>
          <w:sz w:val="22"/>
          <w:szCs w:val="22"/>
          <w:lang w:val="en-US"/>
        </w:rPr>
        <w:t>naesthesia trainees</w:t>
      </w:r>
      <w:r w:rsidR="00B37570" w:rsidRPr="00C858BC">
        <w:rPr>
          <w:rFonts w:ascii="Arial" w:hAnsi="Arial" w:cs="Arial"/>
          <w:sz w:val="22"/>
          <w:szCs w:val="22"/>
          <w:lang w:val="en-US"/>
        </w:rPr>
        <w:t xml:space="preserve"> </w:t>
      </w:r>
      <w:r w:rsidR="00DC4EE9" w:rsidRPr="00C858BC">
        <w:rPr>
          <w:rFonts w:ascii="Arial" w:hAnsi="Arial" w:cs="Arial"/>
          <w:sz w:val="22"/>
          <w:szCs w:val="22"/>
          <w:lang w:val="en-US"/>
        </w:rPr>
        <w:t xml:space="preserve">may </w:t>
      </w:r>
      <w:r w:rsidR="00B37570" w:rsidRPr="00C858BC">
        <w:rPr>
          <w:rFonts w:ascii="Arial" w:hAnsi="Arial" w:cs="Arial"/>
          <w:sz w:val="22"/>
          <w:szCs w:val="22"/>
          <w:lang w:val="en-US"/>
        </w:rPr>
        <w:t>struggle to achieve sufficient airway experience, with reports of a total of between 150 - 200 intubations per year</w:t>
      </w:r>
      <w:r w:rsidRPr="00C858BC">
        <w:rPr>
          <w:rFonts w:ascii="Arial" w:hAnsi="Arial" w:cs="Arial"/>
          <w:sz w:val="22"/>
          <w:szCs w:val="22"/>
          <w:lang w:val="en-US"/>
        </w:rPr>
        <w:t xml:space="preserve">, </w:t>
      </w:r>
      <w:r w:rsidR="00DC4EE9" w:rsidRPr="00C858BC">
        <w:rPr>
          <w:rFonts w:ascii="Arial" w:hAnsi="Arial" w:cs="Arial"/>
          <w:sz w:val="22"/>
          <w:szCs w:val="22"/>
          <w:lang w:val="en-US"/>
        </w:rPr>
        <w:t>and an average of 40 airway management experiences</w:t>
      </w:r>
      <w:r w:rsidR="00B37570" w:rsidRPr="00C858BC">
        <w:rPr>
          <w:rFonts w:ascii="Arial" w:hAnsi="Arial" w:cs="Arial"/>
          <w:sz w:val="22"/>
          <w:szCs w:val="22"/>
          <w:lang w:val="en-US"/>
        </w:rPr>
        <w:t xml:space="preserve"> of all sorts per month.</w:t>
      </w:r>
      <w:r w:rsidR="00564BCF" w:rsidRPr="00C858BC">
        <w:rPr>
          <w:rFonts w:ascii="Arial" w:hAnsi="Arial" w:cs="Arial"/>
          <w:sz w:val="22"/>
          <w:szCs w:val="22"/>
          <w:vertAlign w:val="superscript"/>
          <w:lang w:val="en-US"/>
        </w:rPr>
        <w:t>14</w:t>
      </w:r>
      <w:proofErr w:type="gramStart"/>
      <w:r w:rsidR="00564BCF" w:rsidRPr="00C858BC">
        <w:rPr>
          <w:rFonts w:ascii="Arial" w:hAnsi="Arial" w:cs="Arial"/>
          <w:sz w:val="22"/>
          <w:szCs w:val="22"/>
          <w:vertAlign w:val="superscript"/>
          <w:lang w:val="en-US"/>
        </w:rPr>
        <w:t>,15</w:t>
      </w:r>
      <w:proofErr w:type="gramEnd"/>
      <w:r w:rsidR="00E67E0B" w:rsidRPr="00C858BC">
        <w:rPr>
          <w:rFonts w:ascii="Arial" w:hAnsi="Arial" w:cs="Arial"/>
          <w:sz w:val="22"/>
          <w:szCs w:val="22"/>
          <w:lang w:val="en-US"/>
        </w:rPr>
        <w:t xml:space="preserve"> Several </w:t>
      </w:r>
      <w:r w:rsidRPr="00C858BC">
        <w:rPr>
          <w:rFonts w:ascii="Arial" w:hAnsi="Arial" w:cs="Arial"/>
          <w:sz w:val="22"/>
          <w:szCs w:val="22"/>
          <w:lang w:val="en-US"/>
        </w:rPr>
        <w:t>week</w:t>
      </w:r>
      <w:r w:rsidR="00E67E0B" w:rsidRPr="00C858BC">
        <w:rPr>
          <w:rFonts w:ascii="Arial" w:hAnsi="Arial" w:cs="Arial"/>
          <w:sz w:val="22"/>
          <w:szCs w:val="22"/>
          <w:lang w:val="en-US"/>
        </w:rPr>
        <w:t xml:space="preserve">s </w:t>
      </w:r>
      <w:r w:rsidRPr="00C858BC">
        <w:rPr>
          <w:rFonts w:ascii="Arial" w:hAnsi="Arial" w:cs="Arial"/>
          <w:sz w:val="22"/>
          <w:szCs w:val="22"/>
          <w:lang w:val="en-US"/>
        </w:rPr>
        <w:t xml:space="preserve">in anaesthesia will see a </w:t>
      </w:r>
      <w:r w:rsidR="00E67E0B" w:rsidRPr="00C858BC">
        <w:rPr>
          <w:rFonts w:ascii="Arial" w:hAnsi="Arial" w:cs="Arial"/>
          <w:sz w:val="22"/>
          <w:szCs w:val="22"/>
          <w:lang w:val="en-US"/>
        </w:rPr>
        <w:t xml:space="preserve">relatively </w:t>
      </w:r>
      <w:r w:rsidRPr="00C858BC">
        <w:rPr>
          <w:rFonts w:ascii="Arial" w:hAnsi="Arial" w:cs="Arial"/>
          <w:sz w:val="22"/>
          <w:szCs w:val="22"/>
          <w:lang w:val="en-US"/>
        </w:rPr>
        <w:t xml:space="preserve">small number of opportunities for </w:t>
      </w:r>
      <w:r w:rsidR="00E67E0B" w:rsidRPr="00C858BC">
        <w:rPr>
          <w:rFonts w:ascii="Arial" w:hAnsi="Arial" w:cs="Arial"/>
          <w:sz w:val="22"/>
          <w:szCs w:val="22"/>
          <w:lang w:val="en-US"/>
        </w:rPr>
        <w:t>medical</w:t>
      </w:r>
      <w:r w:rsidRPr="00C858BC">
        <w:rPr>
          <w:rFonts w:ascii="Arial" w:hAnsi="Arial" w:cs="Arial"/>
          <w:sz w:val="22"/>
          <w:szCs w:val="22"/>
          <w:lang w:val="en-US"/>
        </w:rPr>
        <w:t xml:space="preserve"> students to</w:t>
      </w:r>
      <w:r w:rsidR="00E67E0B" w:rsidRPr="00C858BC">
        <w:rPr>
          <w:rFonts w:ascii="Arial" w:hAnsi="Arial" w:cs="Arial"/>
          <w:sz w:val="22"/>
          <w:szCs w:val="22"/>
          <w:lang w:val="en-US"/>
        </w:rPr>
        <w:t xml:space="preserve"> practice airway management, and other techniques such as low-fidelity simulation training may be usefully employed. </w:t>
      </w:r>
      <w:r w:rsidRPr="00C858BC">
        <w:rPr>
          <w:rFonts w:ascii="Arial" w:hAnsi="Arial" w:cs="Arial"/>
          <w:sz w:val="22"/>
          <w:szCs w:val="22"/>
          <w:lang w:val="en-US"/>
        </w:rPr>
        <w:t xml:space="preserve"> </w:t>
      </w:r>
    </w:p>
    <w:p w14:paraId="00C32545" w14:textId="77777777" w:rsidR="00BE07CA" w:rsidRPr="00C858BC" w:rsidRDefault="00BE07CA" w:rsidP="00C858BC">
      <w:pPr>
        <w:widowControl w:val="0"/>
        <w:autoSpaceDE w:val="0"/>
        <w:autoSpaceDN w:val="0"/>
        <w:adjustRightInd w:val="0"/>
        <w:spacing w:line="360" w:lineRule="auto"/>
        <w:rPr>
          <w:rFonts w:ascii="Arial" w:hAnsi="Arial" w:cs="Arial"/>
          <w:sz w:val="22"/>
          <w:szCs w:val="22"/>
          <w:lang w:val="en-US"/>
        </w:rPr>
      </w:pPr>
    </w:p>
    <w:p w14:paraId="558F427F" w14:textId="3D97B33C" w:rsidR="00E023D5" w:rsidRPr="00C858BC" w:rsidRDefault="00DC4EE9"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I</w:t>
      </w:r>
      <w:r w:rsidR="00160A59" w:rsidRPr="00C858BC">
        <w:rPr>
          <w:rFonts w:ascii="Arial" w:hAnsi="Arial" w:cs="Arial"/>
          <w:sz w:val="22"/>
          <w:szCs w:val="22"/>
          <w:lang w:val="en-US"/>
        </w:rPr>
        <w:t>ntravenous cannulation</w:t>
      </w:r>
      <w:r w:rsidRPr="00C858BC">
        <w:rPr>
          <w:rFonts w:ascii="Arial" w:hAnsi="Arial" w:cs="Arial"/>
          <w:sz w:val="22"/>
          <w:szCs w:val="22"/>
          <w:lang w:val="en-US"/>
        </w:rPr>
        <w:t xml:space="preserve"> is also considered a core skill for anaesthesia teaching. Opportunities to learn and practice this skill occur during an anaesthesia attachment</w:t>
      </w:r>
      <w:r w:rsidR="0071228F" w:rsidRPr="00C858BC">
        <w:rPr>
          <w:rFonts w:ascii="Arial" w:hAnsi="Arial" w:cs="Arial"/>
          <w:sz w:val="22"/>
          <w:szCs w:val="22"/>
          <w:lang w:val="en-US"/>
        </w:rPr>
        <w:t xml:space="preserve"> but may be limited by </w:t>
      </w:r>
      <w:r w:rsidRPr="00C858BC">
        <w:rPr>
          <w:rFonts w:ascii="Arial" w:hAnsi="Arial" w:cs="Arial"/>
          <w:sz w:val="22"/>
          <w:szCs w:val="22"/>
          <w:lang w:val="en-US"/>
        </w:rPr>
        <w:t>protocol or logistical issues.  Each location can assess their own capacity to provide adequate cannulation teaching</w:t>
      </w:r>
      <w:r w:rsidR="005E497E" w:rsidRPr="00C858BC">
        <w:rPr>
          <w:rFonts w:ascii="Arial" w:hAnsi="Arial" w:cs="Arial"/>
          <w:sz w:val="22"/>
          <w:szCs w:val="22"/>
          <w:lang w:val="en-US"/>
        </w:rPr>
        <w:t xml:space="preserve"> for students and use alternat</w:t>
      </w:r>
      <w:r w:rsidRPr="00C858BC">
        <w:rPr>
          <w:rFonts w:ascii="Arial" w:hAnsi="Arial" w:cs="Arial"/>
          <w:sz w:val="22"/>
          <w:szCs w:val="22"/>
          <w:lang w:val="en-US"/>
        </w:rPr>
        <w:t>e methods</w:t>
      </w:r>
      <w:r w:rsidR="005E497E" w:rsidRPr="00C858BC">
        <w:rPr>
          <w:rFonts w:ascii="Arial" w:hAnsi="Arial" w:cs="Arial"/>
          <w:sz w:val="22"/>
          <w:szCs w:val="22"/>
          <w:lang w:val="en-US"/>
        </w:rPr>
        <w:t xml:space="preserve"> such as simulation or learning from a cannulation clinical nurse specialist </w:t>
      </w:r>
      <w:r w:rsidRPr="00C858BC">
        <w:rPr>
          <w:rFonts w:ascii="Arial" w:hAnsi="Arial" w:cs="Arial"/>
          <w:sz w:val="22"/>
          <w:szCs w:val="22"/>
          <w:lang w:val="en-US"/>
        </w:rPr>
        <w:t xml:space="preserve">if required. </w:t>
      </w:r>
      <w:r w:rsidR="005E497E" w:rsidRPr="00C858BC">
        <w:rPr>
          <w:rFonts w:ascii="Arial" w:hAnsi="Arial" w:cs="Arial"/>
          <w:sz w:val="22"/>
          <w:szCs w:val="22"/>
          <w:lang w:val="en-US"/>
        </w:rPr>
        <w:t>BLS and ALS are also core components of an anaesthesia or critical care teaching curriculum.</w:t>
      </w:r>
    </w:p>
    <w:p w14:paraId="73F6D8D3" w14:textId="77777777" w:rsidR="00E023D5" w:rsidRPr="00C858BC" w:rsidRDefault="00E023D5" w:rsidP="00C858BC">
      <w:pPr>
        <w:widowControl w:val="0"/>
        <w:autoSpaceDE w:val="0"/>
        <w:autoSpaceDN w:val="0"/>
        <w:adjustRightInd w:val="0"/>
        <w:spacing w:line="360" w:lineRule="auto"/>
        <w:rPr>
          <w:rFonts w:ascii="Arial" w:hAnsi="Arial" w:cs="Arial"/>
          <w:sz w:val="22"/>
          <w:szCs w:val="22"/>
          <w:lang w:val="en-US"/>
        </w:rPr>
      </w:pPr>
    </w:p>
    <w:p w14:paraId="6126FD1E" w14:textId="77777777" w:rsidR="00E023D5" w:rsidRPr="00C858BC" w:rsidRDefault="00E023D5" w:rsidP="00C858BC">
      <w:pPr>
        <w:widowControl w:val="0"/>
        <w:autoSpaceDE w:val="0"/>
        <w:autoSpaceDN w:val="0"/>
        <w:adjustRightInd w:val="0"/>
        <w:spacing w:line="360" w:lineRule="auto"/>
        <w:rPr>
          <w:rFonts w:ascii="Arial" w:hAnsi="Arial" w:cs="Arial"/>
          <w:sz w:val="22"/>
          <w:szCs w:val="22"/>
          <w:lang w:val="en-US"/>
        </w:rPr>
      </w:pPr>
    </w:p>
    <w:p w14:paraId="2FC949E8" w14:textId="1E8242A9" w:rsidR="005A627D" w:rsidRPr="00C858BC" w:rsidRDefault="00F92D4C" w:rsidP="00C858BC">
      <w:pPr>
        <w:widowControl w:val="0"/>
        <w:autoSpaceDE w:val="0"/>
        <w:autoSpaceDN w:val="0"/>
        <w:adjustRightInd w:val="0"/>
        <w:spacing w:line="360" w:lineRule="auto"/>
        <w:rPr>
          <w:rFonts w:ascii="Arial" w:hAnsi="Arial" w:cs="Arial"/>
          <w:b/>
          <w:sz w:val="22"/>
          <w:szCs w:val="22"/>
          <w:u w:val="single"/>
          <w:lang w:val="en-US"/>
        </w:rPr>
      </w:pPr>
      <w:r w:rsidRPr="00C858BC">
        <w:rPr>
          <w:rFonts w:ascii="Arial" w:hAnsi="Arial" w:cs="Arial"/>
          <w:b/>
          <w:sz w:val="22"/>
          <w:szCs w:val="22"/>
          <w:u w:val="single"/>
          <w:lang w:val="en-US"/>
        </w:rPr>
        <w:t>What traits does</w:t>
      </w:r>
      <w:r w:rsidR="005A627D" w:rsidRPr="00C858BC">
        <w:rPr>
          <w:rFonts w:ascii="Arial" w:hAnsi="Arial" w:cs="Arial"/>
          <w:b/>
          <w:sz w:val="22"/>
          <w:szCs w:val="22"/>
          <w:u w:val="single"/>
          <w:lang w:val="en-US"/>
        </w:rPr>
        <w:t xml:space="preserve"> the ideal teacher in anaesthesia</w:t>
      </w:r>
      <w:r w:rsidRPr="00C858BC">
        <w:rPr>
          <w:rFonts w:ascii="Arial" w:hAnsi="Arial" w:cs="Arial"/>
          <w:b/>
          <w:sz w:val="22"/>
          <w:szCs w:val="22"/>
          <w:u w:val="single"/>
          <w:lang w:val="en-US"/>
        </w:rPr>
        <w:t xml:space="preserve"> possess?</w:t>
      </w:r>
    </w:p>
    <w:p w14:paraId="60025994" w14:textId="741B303B" w:rsidR="00BE07CA" w:rsidRPr="00C858BC" w:rsidRDefault="00CB4207"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The ideal teacher is m</w:t>
      </w:r>
      <w:r w:rsidR="00AC1B93" w:rsidRPr="00C858BC">
        <w:rPr>
          <w:rFonts w:ascii="Arial" w:hAnsi="Arial" w:cs="Arial"/>
          <w:sz w:val="22"/>
          <w:szCs w:val="22"/>
          <w:lang w:val="en-US"/>
        </w:rPr>
        <w:t>otivated, interested</w:t>
      </w:r>
      <w:r w:rsidR="00BE07CA" w:rsidRPr="00C858BC">
        <w:rPr>
          <w:rFonts w:ascii="Arial" w:hAnsi="Arial" w:cs="Arial"/>
          <w:sz w:val="22"/>
          <w:szCs w:val="22"/>
          <w:lang w:val="en-US"/>
        </w:rPr>
        <w:t>,</w:t>
      </w:r>
      <w:r w:rsidR="00AC1B93" w:rsidRPr="00C858BC">
        <w:rPr>
          <w:rFonts w:ascii="Arial" w:hAnsi="Arial" w:cs="Arial"/>
          <w:sz w:val="22"/>
          <w:szCs w:val="22"/>
          <w:lang w:val="en-US"/>
        </w:rPr>
        <w:t xml:space="preserve"> and understands the needs of the students.</w:t>
      </w:r>
      <w:r w:rsidR="00BE07CA" w:rsidRPr="00C858BC">
        <w:rPr>
          <w:rFonts w:ascii="Arial" w:hAnsi="Arial" w:cs="Arial"/>
          <w:sz w:val="22"/>
          <w:szCs w:val="22"/>
          <w:lang w:val="en-US"/>
        </w:rPr>
        <w:t xml:space="preserve"> S/he w</w:t>
      </w:r>
      <w:r w:rsidRPr="00C858BC">
        <w:rPr>
          <w:rFonts w:ascii="Arial" w:hAnsi="Arial" w:cs="Arial"/>
          <w:sz w:val="22"/>
          <w:szCs w:val="22"/>
          <w:lang w:val="en-US"/>
        </w:rPr>
        <w:t>ould be familiar wit</w:t>
      </w:r>
      <w:r w:rsidR="00BE07CA" w:rsidRPr="00C858BC">
        <w:rPr>
          <w:rFonts w:ascii="Arial" w:hAnsi="Arial" w:cs="Arial"/>
          <w:sz w:val="22"/>
          <w:szCs w:val="22"/>
          <w:lang w:val="en-US"/>
        </w:rPr>
        <w:t>h the curriculum and understand</w:t>
      </w:r>
      <w:r w:rsidRPr="00C858BC">
        <w:rPr>
          <w:rFonts w:ascii="Arial" w:hAnsi="Arial" w:cs="Arial"/>
          <w:sz w:val="22"/>
          <w:szCs w:val="22"/>
          <w:lang w:val="en-US"/>
        </w:rPr>
        <w:t xml:space="preserve"> that the aim of in-theatre teac</w:t>
      </w:r>
      <w:r w:rsidR="00550B53" w:rsidRPr="00C858BC">
        <w:rPr>
          <w:rFonts w:ascii="Arial" w:hAnsi="Arial" w:cs="Arial"/>
          <w:sz w:val="22"/>
          <w:szCs w:val="22"/>
          <w:lang w:val="en-US"/>
        </w:rPr>
        <w:t xml:space="preserve">hing goes beyond the </w:t>
      </w:r>
      <w:r w:rsidR="00BE07CA" w:rsidRPr="00C858BC">
        <w:rPr>
          <w:rFonts w:ascii="Arial" w:hAnsi="Arial" w:cs="Arial"/>
          <w:sz w:val="22"/>
          <w:szCs w:val="22"/>
          <w:lang w:val="en-US"/>
        </w:rPr>
        <w:t>details</w:t>
      </w:r>
      <w:r w:rsidR="00550B53" w:rsidRPr="00C858BC">
        <w:rPr>
          <w:rFonts w:ascii="Arial" w:hAnsi="Arial" w:cs="Arial"/>
          <w:sz w:val="22"/>
          <w:szCs w:val="22"/>
          <w:lang w:val="en-US"/>
        </w:rPr>
        <w:t xml:space="preserve"> of </w:t>
      </w:r>
      <w:r w:rsidR="00BE07CA" w:rsidRPr="00C858BC">
        <w:rPr>
          <w:rFonts w:ascii="Arial" w:hAnsi="Arial" w:cs="Arial"/>
          <w:sz w:val="22"/>
          <w:szCs w:val="22"/>
          <w:lang w:val="en-US"/>
        </w:rPr>
        <w:t xml:space="preserve">clinical </w:t>
      </w:r>
      <w:r w:rsidR="0071228F" w:rsidRPr="00C858BC">
        <w:rPr>
          <w:rFonts w:ascii="Arial" w:hAnsi="Arial" w:cs="Arial"/>
          <w:sz w:val="22"/>
          <w:szCs w:val="22"/>
          <w:lang w:val="en-US"/>
        </w:rPr>
        <w:t>anaesthesia. The</w:t>
      </w:r>
      <w:r w:rsidR="00BE07CA" w:rsidRPr="00C858BC">
        <w:rPr>
          <w:rFonts w:ascii="Arial" w:hAnsi="Arial" w:cs="Arial"/>
          <w:sz w:val="22"/>
          <w:szCs w:val="22"/>
          <w:lang w:val="en-US"/>
        </w:rPr>
        <w:t xml:space="preserve"> theatre environment by its nature can be daunting and unfamiliar for students. The ideal teacher will recognise this</w:t>
      </w:r>
      <w:r w:rsidR="0071228F" w:rsidRPr="00C858BC">
        <w:rPr>
          <w:rFonts w:ascii="Arial" w:hAnsi="Arial" w:cs="Arial"/>
          <w:sz w:val="22"/>
          <w:szCs w:val="22"/>
          <w:lang w:val="en-US"/>
        </w:rPr>
        <w:t xml:space="preserve"> and</w:t>
      </w:r>
      <w:r w:rsidR="00BE07CA" w:rsidRPr="00C858BC">
        <w:rPr>
          <w:rFonts w:ascii="Arial" w:hAnsi="Arial" w:cs="Arial"/>
          <w:sz w:val="22"/>
          <w:szCs w:val="22"/>
          <w:lang w:val="en-US"/>
        </w:rPr>
        <w:t xml:space="preserve"> will familiarize the student with their new setting and ensure that they feel welcome.</w:t>
      </w:r>
    </w:p>
    <w:p w14:paraId="553359FB" w14:textId="77777777" w:rsidR="00BE07CA" w:rsidRPr="00C858BC" w:rsidRDefault="00BE07CA" w:rsidP="00C858BC">
      <w:pPr>
        <w:widowControl w:val="0"/>
        <w:autoSpaceDE w:val="0"/>
        <w:autoSpaceDN w:val="0"/>
        <w:adjustRightInd w:val="0"/>
        <w:spacing w:line="360" w:lineRule="auto"/>
        <w:rPr>
          <w:rFonts w:ascii="Arial" w:hAnsi="Arial" w:cs="Arial"/>
          <w:sz w:val="22"/>
          <w:szCs w:val="22"/>
          <w:lang w:val="en-US"/>
        </w:rPr>
      </w:pPr>
    </w:p>
    <w:p w14:paraId="37D32E3F" w14:textId="397CA458" w:rsidR="00CB4207" w:rsidRPr="00C858BC" w:rsidRDefault="00550B53"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It </w:t>
      </w:r>
      <w:r w:rsidR="000F4390" w:rsidRPr="00C858BC">
        <w:rPr>
          <w:rFonts w:ascii="Arial" w:hAnsi="Arial" w:cs="Arial"/>
          <w:sz w:val="22"/>
          <w:szCs w:val="22"/>
          <w:lang w:val="en-US"/>
        </w:rPr>
        <w:t>is often</w:t>
      </w:r>
      <w:r w:rsidRPr="00C858BC">
        <w:rPr>
          <w:rFonts w:ascii="Arial" w:hAnsi="Arial" w:cs="Arial"/>
          <w:sz w:val="22"/>
          <w:szCs w:val="22"/>
          <w:lang w:val="en-US"/>
        </w:rPr>
        <w:t xml:space="preserve"> helpful to designate one c</w:t>
      </w:r>
      <w:r w:rsidR="002E2DDE" w:rsidRPr="00C858BC">
        <w:rPr>
          <w:rFonts w:ascii="Arial" w:hAnsi="Arial" w:cs="Arial"/>
          <w:sz w:val="22"/>
          <w:szCs w:val="22"/>
          <w:lang w:val="en-US"/>
        </w:rPr>
        <w:t>onsultant with overall responsibilit</w:t>
      </w:r>
      <w:r w:rsidR="00CB4207" w:rsidRPr="00C858BC">
        <w:rPr>
          <w:rFonts w:ascii="Arial" w:hAnsi="Arial" w:cs="Arial"/>
          <w:sz w:val="22"/>
          <w:szCs w:val="22"/>
          <w:lang w:val="en-US"/>
        </w:rPr>
        <w:t>y for co</w:t>
      </w:r>
      <w:r w:rsidR="002E2DDE" w:rsidRPr="00C858BC">
        <w:rPr>
          <w:rFonts w:ascii="Arial" w:hAnsi="Arial" w:cs="Arial"/>
          <w:sz w:val="22"/>
          <w:szCs w:val="22"/>
          <w:lang w:val="en-US"/>
        </w:rPr>
        <w:t>ordinating</w:t>
      </w:r>
      <w:r w:rsidR="0071228F" w:rsidRPr="00C858BC">
        <w:rPr>
          <w:rFonts w:ascii="Arial" w:hAnsi="Arial" w:cs="Arial"/>
          <w:sz w:val="22"/>
          <w:szCs w:val="22"/>
          <w:lang w:val="en-US"/>
        </w:rPr>
        <w:t xml:space="preserve"> </w:t>
      </w:r>
      <w:r w:rsidR="002E2DDE" w:rsidRPr="00C858BC">
        <w:rPr>
          <w:rFonts w:ascii="Arial" w:hAnsi="Arial" w:cs="Arial"/>
          <w:sz w:val="22"/>
          <w:szCs w:val="22"/>
          <w:lang w:val="en-US"/>
        </w:rPr>
        <w:t xml:space="preserve">medical students and </w:t>
      </w:r>
      <w:r w:rsidR="00CB4207" w:rsidRPr="00C858BC">
        <w:rPr>
          <w:rFonts w:ascii="Arial" w:hAnsi="Arial" w:cs="Arial"/>
          <w:sz w:val="22"/>
          <w:szCs w:val="22"/>
          <w:lang w:val="en-US"/>
        </w:rPr>
        <w:t xml:space="preserve">ensuring that both the students and </w:t>
      </w:r>
      <w:r w:rsidRPr="00C858BC">
        <w:rPr>
          <w:rFonts w:ascii="Arial" w:hAnsi="Arial" w:cs="Arial"/>
          <w:sz w:val="22"/>
          <w:szCs w:val="22"/>
          <w:lang w:val="en-US"/>
        </w:rPr>
        <w:t>other a</w:t>
      </w:r>
      <w:r w:rsidR="002E2DDE" w:rsidRPr="00C858BC">
        <w:rPr>
          <w:rFonts w:ascii="Arial" w:hAnsi="Arial" w:cs="Arial"/>
          <w:sz w:val="22"/>
          <w:szCs w:val="22"/>
          <w:lang w:val="en-US"/>
        </w:rPr>
        <w:t>naesthetists</w:t>
      </w:r>
      <w:r w:rsidRPr="00C858BC">
        <w:rPr>
          <w:rFonts w:ascii="Arial" w:hAnsi="Arial" w:cs="Arial"/>
          <w:sz w:val="22"/>
          <w:szCs w:val="22"/>
          <w:lang w:val="en-US"/>
        </w:rPr>
        <w:t xml:space="preserve"> a</w:t>
      </w:r>
      <w:r w:rsidR="00CB4207" w:rsidRPr="00C858BC">
        <w:rPr>
          <w:rFonts w:ascii="Arial" w:hAnsi="Arial" w:cs="Arial"/>
          <w:sz w:val="22"/>
          <w:szCs w:val="22"/>
          <w:lang w:val="en-US"/>
        </w:rPr>
        <w:t>re familiar with the curriculum</w:t>
      </w:r>
      <w:r w:rsidR="002E2DDE" w:rsidRPr="00C858BC">
        <w:rPr>
          <w:rFonts w:ascii="Arial" w:hAnsi="Arial" w:cs="Arial"/>
          <w:sz w:val="22"/>
          <w:szCs w:val="22"/>
          <w:lang w:val="en-US"/>
        </w:rPr>
        <w:t xml:space="preserve">. </w:t>
      </w:r>
    </w:p>
    <w:p w14:paraId="2E9EDAD6" w14:textId="77777777" w:rsidR="002E2DDE" w:rsidRPr="00C858BC" w:rsidRDefault="002E2DDE" w:rsidP="00C858BC">
      <w:pPr>
        <w:widowControl w:val="0"/>
        <w:autoSpaceDE w:val="0"/>
        <w:autoSpaceDN w:val="0"/>
        <w:adjustRightInd w:val="0"/>
        <w:spacing w:line="360" w:lineRule="auto"/>
        <w:rPr>
          <w:rFonts w:ascii="Arial" w:hAnsi="Arial" w:cs="Arial"/>
          <w:sz w:val="22"/>
          <w:szCs w:val="22"/>
          <w:lang w:val="en-US"/>
        </w:rPr>
      </w:pPr>
    </w:p>
    <w:p w14:paraId="1F3E169D" w14:textId="77777777" w:rsidR="002E2DDE" w:rsidRPr="00C858BC" w:rsidRDefault="002E2DDE" w:rsidP="00C858BC">
      <w:pPr>
        <w:widowControl w:val="0"/>
        <w:autoSpaceDE w:val="0"/>
        <w:autoSpaceDN w:val="0"/>
        <w:adjustRightInd w:val="0"/>
        <w:spacing w:line="360" w:lineRule="auto"/>
        <w:rPr>
          <w:rFonts w:ascii="Arial" w:hAnsi="Arial" w:cs="Arial"/>
          <w:sz w:val="22"/>
          <w:szCs w:val="22"/>
          <w:lang w:val="en-US"/>
        </w:rPr>
      </w:pPr>
    </w:p>
    <w:p w14:paraId="72BC5264" w14:textId="7DB9A107" w:rsidR="005A627D" w:rsidRPr="00C858BC" w:rsidRDefault="0071228F" w:rsidP="00C858BC">
      <w:pPr>
        <w:widowControl w:val="0"/>
        <w:autoSpaceDE w:val="0"/>
        <w:autoSpaceDN w:val="0"/>
        <w:adjustRightInd w:val="0"/>
        <w:spacing w:line="360" w:lineRule="auto"/>
        <w:rPr>
          <w:rFonts w:ascii="Arial" w:hAnsi="Arial" w:cs="Arial"/>
          <w:b/>
          <w:sz w:val="22"/>
          <w:szCs w:val="22"/>
          <w:u w:val="single"/>
          <w:lang w:val="en-US"/>
        </w:rPr>
      </w:pPr>
      <w:r w:rsidRPr="00C858BC">
        <w:rPr>
          <w:rFonts w:ascii="Arial" w:hAnsi="Arial" w:cs="Arial"/>
          <w:b/>
          <w:sz w:val="22"/>
          <w:szCs w:val="22"/>
          <w:u w:val="single"/>
          <w:lang w:val="en-US"/>
        </w:rPr>
        <w:t>I</w:t>
      </w:r>
      <w:r w:rsidR="000F4390" w:rsidRPr="00C858BC">
        <w:rPr>
          <w:rFonts w:ascii="Arial" w:hAnsi="Arial" w:cs="Arial"/>
          <w:b/>
          <w:sz w:val="22"/>
          <w:szCs w:val="22"/>
          <w:u w:val="single"/>
          <w:lang w:val="en-US"/>
        </w:rPr>
        <w:t>s the</w:t>
      </w:r>
      <w:r w:rsidRPr="00C858BC">
        <w:rPr>
          <w:rFonts w:ascii="Arial" w:hAnsi="Arial" w:cs="Arial"/>
          <w:b/>
          <w:sz w:val="22"/>
          <w:szCs w:val="22"/>
          <w:u w:val="single"/>
          <w:lang w:val="en-US"/>
        </w:rPr>
        <w:t>re a</w:t>
      </w:r>
      <w:r w:rsidR="000F4390" w:rsidRPr="00C858BC">
        <w:rPr>
          <w:rFonts w:ascii="Arial" w:hAnsi="Arial" w:cs="Arial"/>
          <w:b/>
          <w:sz w:val="22"/>
          <w:szCs w:val="22"/>
          <w:u w:val="single"/>
          <w:lang w:val="en-US"/>
        </w:rPr>
        <w:t xml:space="preserve"> place for h</w:t>
      </w:r>
      <w:r w:rsidR="005A627D" w:rsidRPr="00C858BC">
        <w:rPr>
          <w:rFonts w:ascii="Arial" w:hAnsi="Arial" w:cs="Arial"/>
          <w:b/>
          <w:sz w:val="22"/>
          <w:szCs w:val="22"/>
          <w:u w:val="single"/>
          <w:lang w:val="en-US"/>
        </w:rPr>
        <w:t>igh-fidelity simulation in undergraduate anaesthesia education</w:t>
      </w:r>
      <w:r w:rsidR="000F4390" w:rsidRPr="00C858BC">
        <w:rPr>
          <w:rFonts w:ascii="Arial" w:hAnsi="Arial" w:cs="Arial"/>
          <w:b/>
          <w:sz w:val="22"/>
          <w:szCs w:val="22"/>
          <w:u w:val="single"/>
          <w:lang w:val="en-US"/>
        </w:rPr>
        <w:t>?</w:t>
      </w:r>
    </w:p>
    <w:p w14:paraId="30038C3B" w14:textId="238D6A77" w:rsidR="000F4390" w:rsidRPr="00C858BC" w:rsidRDefault="000F4390"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High fidelity simulation allows for deliberate practice of routine, unusual, and human factor knowledge and skills in a patient-safe environment. The use of high-fidelity simulation </w:t>
      </w:r>
      <w:r w:rsidR="0071228F" w:rsidRPr="00C858BC">
        <w:rPr>
          <w:rFonts w:ascii="Arial" w:hAnsi="Arial" w:cs="Arial"/>
          <w:sz w:val="22"/>
          <w:szCs w:val="22"/>
          <w:lang w:val="en-US"/>
        </w:rPr>
        <w:t>can allow</w:t>
      </w:r>
      <w:r w:rsidRPr="00C858BC">
        <w:rPr>
          <w:rFonts w:ascii="Arial" w:hAnsi="Arial" w:cs="Arial"/>
          <w:sz w:val="22"/>
          <w:szCs w:val="22"/>
          <w:lang w:val="en-US"/>
        </w:rPr>
        <w:t xml:space="preserve"> medical students to experience the operating theatre environment prior to</w:t>
      </w:r>
      <w:r w:rsidR="0071228F" w:rsidRPr="00C858BC">
        <w:rPr>
          <w:rFonts w:ascii="Arial" w:hAnsi="Arial" w:cs="Arial"/>
          <w:sz w:val="22"/>
          <w:szCs w:val="22"/>
          <w:lang w:val="en-US"/>
        </w:rPr>
        <w:t xml:space="preserve"> or during</w:t>
      </w:r>
      <w:r w:rsidRPr="00C858BC">
        <w:rPr>
          <w:rFonts w:ascii="Arial" w:hAnsi="Arial" w:cs="Arial"/>
          <w:sz w:val="22"/>
          <w:szCs w:val="22"/>
          <w:lang w:val="en-US"/>
        </w:rPr>
        <w:t xml:space="preserve"> their clinical placement, which enables learning on multiple aspects of clinical anaesthesia, resuscitation, applied physiology, applied pharmacology, monitoring, human factors, and medication safety in a reproducible and efficient manner. There is no evidence that high-fidelity simulation  is inferior to other methods of instruction when teaching medical students, with some studies showing it to be superior for teaching certain topics. </w:t>
      </w:r>
      <w:r w:rsidR="00564BCF" w:rsidRPr="00C858BC">
        <w:rPr>
          <w:rFonts w:ascii="Arial" w:hAnsi="Arial" w:cs="Arial"/>
          <w:sz w:val="22"/>
          <w:szCs w:val="22"/>
          <w:vertAlign w:val="superscript"/>
          <w:lang w:val="en-US"/>
        </w:rPr>
        <w:t>16,17,18</w:t>
      </w:r>
      <w:r w:rsidRPr="00C858BC">
        <w:rPr>
          <w:rFonts w:ascii="Arial" w:hAnsi="Arial" w:cs="Arial"/>
          <w:sz w:val="22"/>
          <w:szCs w:val="22"/>
          <w:lang w:val="en-US"/>
        </w:rPr>
        <w:t xml:space="preserve"> While there is interest and growing evidence supporting the use of high-fidelity simulation as a teaching tool in undergraduate medical education, it is not yet established as an assessment instrument.</w:t>
      </w:r>
    </w:p>
    <w:p w14:paraId="13278BA1" w14:textId="77777777" w:rsidR="000F4390" w:rsidRPr="00C858BC" w:rsidRDefault="000F4390" w:rsidP="00C858BC">
      <w:pPr>
        <w:widowControl w:val="0"/>
        <w:autoSpaceDE w:val="0"/>
        <w:autoSpaceDN w:val="0"/>
        <w:adjustRightInd w:val="0"/>
        <w:spacing w:line="360" w:lineRule="auto"/>
        <w:rPr>
          <w:rFonts w:ascii="Arial" w:hAnsi="Arial" w:cs="Arial"/>
          <w:color w:val="FF0000"/>
          <w:sz w:val="22"/>
          <w:szCs w:val="22"/>
          <w:lang w:val="en-US"/>
        </w:rPr>
      </w:pPr>
    </w:p>
    <w:p w14:paraId="65F519C7" w14:textId="77777777" w:rsidR="00E023D5" w:rsidRPr="00C858BC" w:rsidRDefault="00E023D5" w:rsidP="00C858BC">
      <w:pPr>
        <w:widowControl w:val="0"/>
        <w:autoSpaceDE w:val="0"/>
        <w:autoSpaceDN w:val="0"/>
        <w:adjustRightInd w:val="0"/>
        <w:spacing w:line="360" w:lineRule="auto"/>
        <w:rPr>
          <w:rFonts w:ascii="Arial" w:hAnsi="Arial" w:cs="Arial"/>
          <w:sz w:val="22"/>
          <w:szCs w:val="22"/>
          <w:lang w:val="en-US"/>
        </w:rPr>
      </w:pPr>
    </w:p>
    <w:p w14:paraId="64155552" w14:textId="77777777" w:rsidR="00A15DF3" w:rsidRPr="00C858BC" w:rsidRDefault="00A15DF3" w:rsidP="00C858BC">
      <w:pPr>
        <w:spacing w:line="360" w:lineRule="auto"/>
        <w:rPr>
          <w:rFonts w:ascii="Arial" w:hAnsi="Arial" w:cs="Arial"/>
          <w:b/>
          <w:sz w:val="22"/>
          <w:szCs w:val="22"/>
          <w:u w:val="single"/>
          <w:lang w:val="en-US"/>
        </w:rPr>
      </w:pPr>
      <w:r w:rsidRPr="00C858BC">
        <w:rPr>
          <w:rFonts w:ascii="Arial" w:hAnsi="Arial" w:cs="Arial"/>
          <w:b/>
          <w:sz w:val="22"/>
          <w:szCs w:val="22"/>
          <w:u w:val="single"/>
          <w:lang w:val="en-US"/>
        </w:rPr>
        <w:t>What are the best teaching methods?</w:t>
      </w:r>
    </w:p>
    <w:p w14:paraId="6793AFA5" w14:textId="58434151" w:rsidR="00A15DF3" w:rsidRPr="00C858BC" w:rsidRDefault="00CA4637" w:rsidP="00C858BC">
      <w:pPr>
        <w:spacing w:line="360" w:lineRule="auto"/>
        <w:rPr>
          <w:rFonts w:ascii="Arial" w:hAnsi="Arial" w:cs="Arial"/>
          <w:sz w:val="22"/>
          <w:szCs w:val="22"/>
          <w:lang w:val="en-US"/>
        </w:rPr>
      </w:pPr>
      <w:r w:rsidRPr="00C858BC">
        <w:rPr>
          <w:rFonts w:ascii="Arial" w:hAnsi="Arial" w:cs="Arial"/>
          <w:sz w:val="22"/>
          <w:szCs w:val="22"/>
          <w:lang w:val="en-US"/>
        </w:rPr>
        <w:t xml:space="preserve">One-on-one bedside teaching during a clinical placement in theatre is probably the gold standard as a teaching method. This is however </w:t>
      </w:r>
      <w:proofErr w:type="gramStart"/>
      <w:r w:rsidRPr="00C858BC">
        <w:rPr>
          <w:rFonts w:ascii="Arial" w:hAnsi="Arial" w:cs="Arial"/>
          <w:sz w:val="22"/>
          <w:szCs w:val="22"/>
          <w:lang w:val="en-US"/>
        </w:rPr>
        <w:t>labour</w:t>
      </w:r>
      <w:proofErr w:type="gramEnd"/>
      <w:r w:rsidRPr="00C858BC">
        <w:rPr>
          <w:rFonts w:ascii="Arial" w:hAnsi="Arial" w:cs="Arial"/>
          <w:sz w:val="22"/>
          <w:szCs w:val="22"/>
          <w:lang w:val="en-US"/>
        </w:rPr>
        <w:t xml:space="preserve"> intensive and highly variable, depending on enthusiastic and informed teachers following set curriculum goals.</w:t>
      </w:r>
    </w:p>
    <w:p w14:paraId="359A427B" w14:textId="77777777" w:rsidR="00CA4637" w:rsidRPr="00C858BC" w:rsidRDefault="00CA4637" w:rsidP="00C858BC">
      <w:pPr>
        <w:spacing w:line="360" w:lineRule="auto"/>
        <w:rPr>
          <w:rFonts w:ascii="Arial" w:hAnsi="Arial" w:cs="Arial"/>
          <w:sz w:val="22"/>
          <w:szCs w:val="22"/>
          <w:lang w:val="en-US"/>
        </w:rPr>
      </w:pPr>
    </w:p>
    <w:p w14:paraId="79F54A63" w14:textId="70D7EAF2" w:rsidR="00CA4637" w:rsidRPr="00C858BC" w:rsidRDefault="00CA4637" w:rsidP="00C858BC">
      <w:pPr>
        <w:spacing w:line="360" w:lineRule="auto"/>
        <w:rPr>
          <w:rFonts w:ascii="Arial" w:hAnsi="Arial" w:cs="Arial"/>
          <w:sz w:val="22"/>
          <w:szCs w:val="22"/>
          <w:lang w:val="en-US"/>
        </w:rPr>
      </w:pPr>
      <w:r w:rsidRPr="00C858BC">
        <w:rPr>
          <w:rFonts w:ascii="Arial" w:hAnsi="Arial" w:cs="Arial"/>
          <w:sz w:val="22"/>
          <w:szCs w:val="22"/>
          <w:lang w:val="en-US"/>
        </w:rPr>
        <w:t xml:space="preserve">Other useful methods include didactic teaching such as </w:t>
      </w:r>
      <w:proofErr w:type="gramStart"/>
      <w:r w:rsidRPr="00C858BC">
        <w:rPr>
          <w:rFonts w:ascii="Arial" w:hAnsi="Arial" w:cs="Arial"/>
          <w:sz w:val="22"/>
          <w:szCs w:val="22"/>
          <w:lang w:val="en-US"/>
        </w:rPr>
        <w:t>lectures,</w:t>
      </w:r>
      <w:proofErr w:type="gramEnd"/>
      <w:r w:rsidRPr="00C858BC">
        <w:rPr>
          <w:rFonts w:ascii="Arial" w:hAnsi="Arial" w:cs="Arial"/>
          <w:sz w:val="22"/>
          <w:szCs w:val="22"/>
          <w:lang w:val="en-US"/>
        </w:rPr>
        <w:t xml:space="preserve"> problem based learning tutorials, clinical skills tutorials, simulation sessions, e-learning modules, and utilizing log books or ward rounds to provide foci for discussion.</w:t>
      </w:r>
    </w:p>
    <w:p w14:paraId="3D342483" w14:textId="77777777" w:rsidR="00944678" w:rsidRPr="00C858BC" w:rsidRDefault="00944678" w:rsidP="00C858BC">
      <w:pPr>
        <w:spacing w:line="360" w:lineRule="auto"/>
        <w:rPr>
          <w:rFonts w:ascii="Arial" w:hAnsi="Arial" w:cs="Arial"/>
          <w:sz w:val="22"/>
          <w:szCs w:val="22"/>
          <w:lang w:val="en-US"/>
        </w:rPr>
      </w:pPr>
    </w:p>
    <w:p w14:paraId="14698E3C" w14:textId="3240316D" w:rsidR="00944678" w:rsidRPr="00C858BC" w:rsidRDefault="00944678" w:rsidP="00C858BC">
      <w:pPr>
        <w:spacing w:line="360" w:lineRule="auto"/>
        <w:rPr>
          <w:rFonts w:ascii="Arial" w:hAnsi="Arial" w:cs="Arial"/>
          <w:sz w:val="22"/>
          <w:szCs w:val="22"/>
          <w:lang w:val="en-US"/>
        </w:rPr>
      </w:pPr>
      <w:r w:rsidRPr="00C858BC">
        <w:rPr>
          <w:rFonts w:ascii="Arial" w:hAnsi="Arial" w:cs="Arial"/>
          <w:sz w:val="22"/>
          <w:szCs w:val="22"/>
          <w:lang w:val="en-US"/>
        </w:rPr>
        <w:t>A longitudinal approach incorporating continuity in either patient care or consultant supervision is also possible.  In the former case, students follow a patient from the preoperative assessment clinic into the operating theatre and for their postoperative care. This approach is more patient-centered than the traditional approach and can be tailored to cover specific knowledge or competency areas. Alternately, students can be paired with anaesthetists periodically over a longer period of time. This allows a more efficient coverage of objectives and formation of a greater bond between the two.</w:t>
      </w:r>
      <w:r w:rsidR="00564BCF" w:rsidRPr="00C858BC">
        <w:rPr>
          <w:rFonts w:ascii="Arial" w:hAnsi="Arial" w:cs="Arial"/>
          <w:sz w:val="22"/>
          <w:szCs w:val="22"/>
          <w:vertAlign w:val="superscript"/>
          <w:lang w:val="en-US"/>
        </w:rPr>
        <w:t>2</w:t>
      </w:r>
      <w:r w:rsidR="0071228F" w:rsidRPr="00C858BC">
        <w:rPr>
          <w:rFonts w:ascii="Arial" w:hAnsi="Arial" w:cs="Arial"/>
          <w:sz w:val="22"/>
          <w:szCs w:val="22"/>
          <w:lang w:val="en-US"/>
        </w:rPr>
        <w:t xml:space="preserve"> An Australian study has previously found that of students who intended to pursue a career in anaesthesia, 94% identified a positive role model.</w:t>
      </w:r>
      <w:r w:rsidR="00564BCF" w:rsidRPr="00C858BC">
        <w:rPr>
          <w:rFonts w:ascii="Arial" w:hAnsi="Arial" w:cs="Arial"/>
          <w:sz w:val="22"/>
          <w:szCs w:val="22"/>
          <w:vertAlign w:val="superscript"/>
          <w:lang w:val="en-US"/>
        </w:rPr>
        <w:t>19</w:t>
      </w:r>
      <w:r w:rsidR="0071228F" w:rsidRPr="00C858BC">
        <w:rPr>
          <w:rFonts w:ascii="Arial" w:hAnsi="Arial" w:cs="Arial"/>
          <w:sz w:val="22"/>
          <w:szCs w:val="22"/>
          <w:lang w:val="en-US"/>
        </w:rPr>
        <w:t xml:space="preserve"> </w:t>
      </w:r>
    </w:p>
    <w:p w14:paraId="54D214B9" w14:textId="77777777" w:rsidR="00CA4637" w:rsidRPr="00C858BC" w:rsidRDefault="00CA4637" w:rsidP="00C858BC">
      <w:pPr>
        <w:spacing w:line="360" w:lineRule="auto"/>
        <w:rPr>
          <w:rFonts w:ascii="Arial" w:hAnsi="Arial" w:cs="Arial"/>
          <w:b/>
          <w:sz w:val="22"/>
          <w:szCs w:val="22"/>
          <w:u w:val="single"/>
          <w:lang w:val="en-US"/>
        </w:rPr>
      </w:pPr>
    </w:p>
    <w:p w14:paraId="4D1E3360" w14:textId="77777777" w:rsidR="00A15DF3" w:rsidRPr="00C858BC" w:rsidRDefault="00A15DF3" w:rsidP="00C858BC">
      <w:pPr>
        <w:spacing w:line="360" w:lineRule="auto"/>
        <w:rPr>
          <w:rFonts w:ascii="Arial" w:hAnsi="Arial" w:cs="Arial"/>
          <w:b/>
          <w:sz w:val="22"/>
          <w:szCs w:val="22"/>
          <w:u w:val="single"/>
          <w:lang w:val="en-US"/>
        </w:rPr>
      </w:pPr>
      <w:r w:rsidRPr="00C858BC">
        <w:rPr>
          <w:rFonts w:ascii="Arial" w:hAnsi="Arial" w:cs="Arial"/>
          <w:b/>
          <w:sz w:val="22"/>
          <w:szCs w:val="22"/>
          <w:u w:val="single"/>
          <w:lang w:val="en-US"/>
        </w:rPr>
        <w:t>Where should teaching occur?</w:t>
      </w:r>
    </w:p>
    <w:p w14:paraId="1761866C" w14:textId="52327159" w:rsidR="00A15DF3" w:rsidRPr="00C858BC" w:rsidRDefault="00A15DF3" w:rsidP="00C858BC">
      <w:pPr>
        <w:spacing w:line="360" w:lineRule="auto"/>
        <w:rPr>
          <w:rFonts w:ascii="Arial" w:hAnsi="Arial" w:cs="Arial"/>
          <w:sz w:val="22"/>
          <w:szCs w:val="22"/>
          <w:lang w:val="en-US"/>
        </w:rPr>
      </w:pPr>
      <w:r w:rsidRPr="00C858BC">
        <w:rPr>
          <w:rFonts w:ascii="Arial" w:hAnsi="Arial" w:cs="Arial"/>
          <w:sz w:val="22"/>
          <w:szCs w:val="22"/>
          <w:lang w:val="en-US"/>
        </w:rPr>
        <w:t>Anaesthesia teaching can occur either as an independent topic or as a component of a critical care unit. The operating theatre and the pain round are con</w:t>
      </w:r>
      <w:r w:rsidR="00BE69BC" w:rsidRPr="00C858BC">
        <w:rPr>
          <w:rFonts w:ascii="Arial" w:hAnsi="Arial" w:cs="Arial"/>
          <w:sz w:val="22"/>
          <w:szCs w:val="22"/>
          <w:lang w:val="en-US"/>
        </w:rPr>
        <w:t>sidered core environments. O</w:t>
      </w:r>
      <w:r w:rsidRPr="00C858BC">
        <w:rPr>
          <w:rFonts w:ascii="Arial" w:hAnsi="Arial" w:cs="Arial"/>
          <w:sz w:val="22"/>
          <w:szCs w:val="22"/>
          <w:lang w:val="en-US"/>
        </w:rPr>
        <w:t>ther locations such as the ICU</w:t>
      </w:r>
      <w:r w:rsidR="00BE69BC" w:rsidRPr="00C858BC">
        <w:rPr>
          <w:rFonts w:ascii="Arial" w:hAnsi="Arial" w:cs="Arial"/>
          <w:sz w:val="22"/>
          <w:szCs w:val="22"/>
          <w:lang w:val="en-US"/>
        </w:rPr>
        <w:t xml:space="preserve">, </w:t>
      </w:r>
      <w:r w:rsidRPr="00C858BC">
        <w:rPr>
          <w:rFonts w:ascii="Arial" w:hAnsi="Arial" w:cs="Arial"/>
          <w:sz w:val="22"/>
          <w:szCs w:val="22"/>
          <w:lang w:val="en-US"/>
        </w:rPr>
        <w:t>the pre-operative assessment clinic</w:t>
      </w:r>
      <w:r w:rsidR="00BE69BC" w:rsidRPr="00C858BC">
        <w:rPr>
          <w:rFonts w:ascii="Arial" w:hAnsi="Arial" w:cs="Arial"/>
          <w:sz w:val="22"/>
          <w:szCs w:val="22"/>
          <w:lang w:val="en-US"/>
        </w:rPr>
        <w:t>, recovery units, lectures, and simulation workshops</w:t>
      </w:r>
      <w:r w:rsidRPr="00C858BC">
        <w:rPr>
          <w:rFonts w:ascii="Arial" w:hAnsi="Arial" w:cs="Arial"/>
          <w:sz w:val="22"/>
          <w:szCs w:val="22"/>
          <w:lang w:val="en-US"/>
        </w:rPr>
        <w:t xml:space="preserve"> </w:t>
      </w:r>
      <w:r w:rsidR="00BE69BC" w:rsidRPr="00C858BC">
        <w:rPr>
          <w:rFonts w:ascii="Arial" w:hAnsi="Arial" w:cs="Arial"/>
          <w:sz w:val="22"/>
          <w:szCs w:val="22"/>
          <w:lang w:val="en-US"/>
        </w:rPr>
        <w:t>are also</w:t>
      </w:r>
      <w:r w:rsidRPr="00C858BC">
        <w:rPr>
          <w:rFonts w:ascii="Arial" w:hAnsi="Arial" w:cs="Arial"/>
          <w:sz w:val="22"/>
          <w:szCs w:val="22"/>
          <w:lang w:val="en-US"/>
        </w:rPr>
        <w:t xml:space="preserve"> possible depending on local resources and collaborations.</w:t>
      </w:r>
    </w:p>
    <w:p w14:paraId="0FFBB11D" w14:textId="77777777" w:rsidR="00A15DF3" w:rsidRPr="00C858BC" w:rsidRDefault="00A15DF3" w:rsidP="00C858BC">
      <w:pPr>
        <w:spacing w:line="360" w:lineRule="auto"/>
        <w:rPr>
          <w:rFonts w:ascii="Arial" w:hAnsi="Arial" w:cs="Arial"/>
          <w:sz w:val="22"/>
          <w:szCs w:val="22"/>
          <w:lang w:val="en-US"/>
        </w:rPr>
      </w:pPr>
    </w:p>
    <w:p w14:paraId="27C646DA" w14:textId="77777777" w:rsidR="00A15DF3" w:rsidRPr="00C858BC" w:rsidRDefault="00A15DF3" w:rsidP="00C858BC">
      <w:pPr>
        <w:spacing w:line="360" w:lineRule="auto"/>
        <w:rPr>
          <w:rFonts w:ascii="Arial" w:hAnsi="Arial" w:cs="Arial"/>
          <w:b/>
          <w:sz w:val="22"/>
          <w:szCs w:val="22"/>
          <w:u w:val="single"/>
          <w:lang w:val="en-US"/>
        </w:rPr>
      </w:pPr>
    </w:p>
    <w:p w14:paraId="06EAD48B" w14:textId="2851F973" w:rsidR="00360152" w:rsidRPr="00C858BC" w:rsidRDefault="00B20F9B" w:rsidP="00C858BC">
      <w:pPr>
        <w:spacing w:line="360" w:lineRule="auto"/>
        <w:rPr>
          <w:rFonts w:ascii="Arial" w:hAnsi="Arial" w:cs="Arial"/>
          <w:b/>
          <w:sz w:val="22"/>
          <w:szCs w:val="22"/>
          <w:u w:val="single"/>
          <w:lang w:val="en-US"/>
        </w:rPr>
      </w:pPr>
      <w:r w:rsidRPr="00C858BC">
        <w:rPr>
          <w:rFonts w:ascii="Arial" w:hAnsi="Arial" w:cs="Arial"/>
          <w:b/>
          <w:sz w:val="22"/>
          <w:szCs w:val="22"/>
          <w:u w:val="single"/>
          <w:lang w:val="en-US"/>
        </w:rPr>
        <w:t>Should a student</w:t>
      </w:r>
      <w:r w:rsidR="002C7AD7" w:rsidRPr="00C858BC">
        <w:rPr>
          <w:rFonts w:ascii="Arial" w:hAnsi="Arial" w:cs="Arial"/>
          <w:b/>
          <w:sz w:val="22"/>
          <w:szCs w:val="22"/>
          <w:u w:val="single"/>
          <w:lang w:val="en-US"/>
        </w:rPr>
        <w:t xml:space="preserve"> anaesthesia curriculum be assessed?</w:t>
      </w:r>
    </w:p>
    <w:p w14:paraId="2D63A26B" w14:textId="4C34C9AF" w:rsidR="00CA4637" w:rsidRPr="00C858BC" w:rsidRDefault="00BE69BC" w:rsidP="00C858BC">
      <w:pPr>
        <w:spacing w:line="360" w:lineRule="auto"/>
        <w:rPr>
          <w:rFonts w:ascii="Arial" w:hAnsi="Arial" w:cs="Arial"/>
          <w:sz w:val="22"/>
          <w:szCs w:val="22"/>
          <w:lang w:val="en-US"/>
        </w:rPr>
      </w:pPr>
      <w:r w:rsidRPr="00C858BC">
        <w:rPr>
          <w:rFonts w:ascii="Arial" w:hAnsi="Arial" w:cs="Arial"/>
          <w:sz w:val="22"/>
          <w:szCs w:val="22"/>
          <w:lang w:val="en-US"/>
        </w:rPr>
        <w:t xml:space="preserve">Eighty percent of the bi-national survey respondents felt that an anaesthesia curriculum should be assessed.  A range of techniques can be employed. These include demonstration of practical skills such as CPR or IV cannulation, a record of attendance, a logbook of cases seen, formal case presentations, </w:t>
      </w:r>
      <w:r w:rsidR="00CA4637" w:rsidRPr="00C858BC">
        <w:rPr>
          <w:rFonts w:ascii="Arial" w:hAnsi="Arial" w:cs="Arial"/>
          <w:sz w:val="22"/>
          <w:szCs w:val="22"/>
          <w:lang w:val="en-US"/>
        </w:rPr>
        <w:t xml:space="preserve">case based essays, </w:t>
      </w:r>
      <w:r w:rsidRPr="00C858BC">
        <w:rPr>
          <w:rFonts w:ascii="Arial" w:hAnsi="Arial" w:cs="Arial"/>
          <w:sz w:val="22"/>
          <w:szCs w:val="22"/>
          <w:lang w:val="en-US"/>
        </w:rPr>
        <w:t>completion of a work</w:t>
      </w:r>
      <w:r w:rsidR="00CA4637" w:rsidRPr="00C858BC">
        <w:rPr>
          <w:rFonts w:ascii="Arial" w:hAnsi="Arial" w:cs="Arial"/>
          <w:sz w:val="22"/>
          <w:szCs w:val="22"/>
          <w:lang w:val="en-US"/>
        </w:rPr>
        <w:t>book with set topics,</w:t>
      </w:r>
      <w:r w:rsidRPr="00C858BC">
        <w:rPr>
          <w:rFonts w:ascii="Arial" w:hAnsi="Arial" w:cs="Arial"/>
          <w:sz w:val="22"/>
          <w:szCs w:val="22"/>
          <w:lang w:val="en-US"/>
        </w:rPr>
        <w:t xml:space="preserve"> in a simulation environment, or by formal techniques such as MCQs, short answer questions, or in an OSCE. Assessment </w:t>
      </w:r>
      <w:r w:rsidR="00CA4637" w:rsidRPr="00C858BC">
        <w:rPr>
          <w:rFonts w:ascii="Arial" w:hAnsi="Arial" w:cs="Arial"/>
          <w:sz w:val="22"/>
          <w:szCs w:val="22"/>
          <w:lang w:val="en-US"/>
        </w:rPr>
        <w:t>is</w:t>
      </w:r>
      <w:r w:rsidRPr="00C858BC">
        <w:rPr>
          <w:rFonts w:ascii="Arial" w:hAnsi="Arial" w:cs="Arial"/>
          <w:sz w:val="22"/>
          <w:szCs w:val="22"/>
          <w:lang w:val="en-US"/>
        </w:rPr>
        <w:t xml:space="preserve"> probably</w:t>
      </w:r>
      <w:r w:rsidR="00CA4637" w:rsidRPr="00C858BC">
        <w:rPr>
          <w:rFonts w:ascii="Arial" w:hAnsi="Arial" w:cs="Arial"/>
          <w:sz w:val="22"/>
          <w:szCs w:val="22"/>
          <w:lang w:val="en-US"/>
        </w:rPr>
        <w:t xml:space="preserve"> most appropriate </w:t>
      </w:r>
      <w:r w:rsidRPr="00C858BC">
        <w:rPr>
          <w:rFonts w:ascii="Arial" w:hAnsi="Arial" w:cs="Arial"/>
          <w:sz w:val="22"/>
          <w:szCs w:val="22"/>
          <w:lang w:val="en-US"/>
        </w:rPr>
        <w:t xml:space="preserve">at the end of the anaesthesia course or placement. </w:t>
      </w:r>
      <w:r w:rsidR="00CA4637" w:rsidRPr="00C858BC">
        <w:rPr>
          <w:rFonts w:ascii="Arial" w:hAnsi="Arial" w:cs="Arial"/>
          <w:sz w:val="22"/>
          <w:szCs w:val="22"/>
          <w:lang w:val="en-US"/>
        </w:rPr>
        <w:t>This could also occur in end of year or final examinations but agreement with the medical school needs to be negotiated.</w:t>
      </w:r>
    </w:p>
    <w:p w14:paraId="4AC7A92A" w14:textId="77777777" w:rsidR="00CA4637" w:rsidRPr="00C858BC" w:rsidRDefault="00CA4637" w:rsidP="00C858BC">
      <w:pPr>
        <w:spacing w:line="360" w:lineRule="auto"/>
        <w:rPr>
          <w:rFonts w:ascii="Arial" w:hAnsi="Arial" w:cs="Arial"/>
          <w:sz w:val="22"/>
          <w:szCs w:val="22"/>
          <w:lang w:val="en-US"/>
        </w:rPr>
      </w:pPr>
    </w:p>
    <w:p w14:paraId="14E1DAD4" w14:textId="19A472BA" w:rsidR="00BE69BC" w:rsidRPr="00C858BC" w:rsidRDefault="00CA4637" w:rsidP="00C858BC">
      <w:pPr>
        <w:spacing w:line="360" w:lineRule="auto"/>
        <w:rPr>
          <w:rFonts w:ascii="Arial" w:hAnsi="Arial" w:cs="Arial"/>
          <w:sz w:val="22"/>
          <w:szCs w:val="22"/>
          <w:lang w:val="en-US"/>
        </w:rPr>
      </w:pPr>
      <w:r w:rsidRPr="00C858BC">
        <w:rPr>
          <w:rFonts w:ascii="Arial" w:hAnsi="Arial" w:cs="Arial"/>
          <w:sz w:val="22"/>
          <w:szCs w:val="22"/>
          <w:lang w:val="en-US"/>
        </w:rPr>
        <w:t>The outcomes of assessment also need to be considered – will there be a summative element to the assessment and what will be the consequences of an unsuccessful assessment? S</w:t>
      </w:r>
      <w:r w:rsidR="00BE69BC" w:rsidRPr="00C858BC">
        <w:rPr>
          <w:rFonts w:ascii="Arial" w:hAnsi="Arial" w:cs="Arial"/>
          <w:sz w:val="22"/>
          <w:szCs w:val="22"/>
          <w:lang w:val="en-US"/>
        </w:rPr>
        <w:t xml:space="preserve">tudents should be provided with </w:t>
      </w:r>
      <w:r w:rsidRPr="00C858BC">
        <w:rPr>
          <w:rFonts w:ascii="Arial" w:hAnsi="Arial" w:cs="Arial"/>
          <w:sz w:val="22"/>
          <w:szCs w:val="22"/>
          <w:lang w:val="en-US"/>
        </w:rPr>
        <w:t xml:space="preserve">formative </w:t>
      </w:r>
      <w:r w:rsidR="00BE69BC" w:rsidRPr="00C858BC">
        <w:rPr>
          <w:rFonts w:ascii="Arial" w:hAnsi="Arial" w:cs="Arial"/>
          <w:sz w:val="22"/>
          <w:szCs w:val="22"/>
          <w:lang w:val="en-US"/>
        </w:rPr>
        <w:t xml:space="preserve">feedback as well as </w:t>
      </w:r>
      <w:r w:rsidRPr="00C858BC">
        <w:rPr>
          <w:rFonts w:ascii="Arial" w:hAnsi="Arial" w:cs="Arial"/>
          <w:sz w:val="22"/>
          <w:szCs w:val="22"/>
          <w:lang w:val="en-US"/>
        </w:rPr>
        <w:t xml:space="preserve">have an opportunity to </w:t>
      </w:r>
      <w:r w:rsidR="00BE69BC" w:rsidRPr="00C858BC">
        <w:rPr>
          <w:rFonts w:ascii="Arial" w:hAnsi="Arial" w:cs="Arial"/>
          <w:sz w:val="22"/>
          <w:szCs w:val="22"/>
          <w:lang w:val="en-US"/>
        </w:rPr>
        <w:t>provide feedback on the course.</w:t>
      </w:r>
    </w:p>
    <w:p w14:paraId="714D09E6" w14:textId="77777777" w:rsidR="00BE69BC" w:rsidRPr="00C858BC" w:rsidRDefault="00BE69BC" w:rsidP="00C858BC">
      <w:pPr>
        <w:spacing w:line="360" w:lineRule="auto"/>
        <w:rPr>
          <w:rFonts w:ascii="Arial" w:hAnsi="Arial" w:cs="Arial"/>
          <w:sz w:val="22"/>
          <w:szCs w:val="22"/>
          <w:lang w:val="en-US"/>
        </w:rPr>
      </w:pPr>
    </w:p>
    <w:p w14:paraId="497AA258" w14:textId="77777777" w:rsidR="00A15DF3" w:rsidRPr="00C858BC" w:rsidRDefault="00A15DF3" w:rsidP="00C858BC">
      <w:pPr>
        <w:spacing w:line="360" w:lineRule="auto"/>
        <w:rPr>
          <w:rFonts w:ascii="Arial" w:hAnsi="Arial" w:cs="Arial"/>
          <w:sz w:val="22"/>
          <w:szCs w:val="22"/>
          <w:lang w:val="en-US"/>
        </w:rPr>
      </w:pPr>
    </w:p>
    <w:p w14:paraId="55CFD955" w14:textId="2E9A9E54" w:rsidR="00A15DF3" w:rsidRPr="00C858BC" w:rsidRDefault="00BE07CA" w:rsidP="00C858BC">
      <w:pPr>
        <w:widowControl w:val="0"/>
        <w:autoSpaceDE w:val="0"/>
        <w:autoSpaceDN w:val="0"/>
        <w:adjustRightInd w:val="0"/>
        <w:spacing w:line="360" w:lineRule="auto"/>
        <w:rPr>
          <w:rFonts w:ascii="Arial" w:hAnsi="Arial" w:cs="Arial"/>
          <w:b/>
          <w:sz w:val="22"/>
          <w:szCs w:val="22"/>
          <w:u w:val="single"/>
          <w:lang w:val="en-US"/>
        </w:rPr>
      </w:pPr>
      <w:r w:rsidRPr="00C858BC">
        <w:rPr>
          <w:rFonts w:ascii="Arial" w:hAnsi="Arial" w:cs="Arial"/>
          <w:b/>
          <w:sz w:val="22"/>
          <w:szCs w:val="22"/>
          <w:u w:val="single"/>
          <w:lang w:val="en-US"/>
        </w:rPr>
        <w:t>What would the</w:t>
      </w:r>
      <w:r w:rsidR="00872D3B" w:rsidRPr="00C858BC">
        <w:rPr>
          <w:rFonts w:ascii="Arial" w:hAnsi="Arial" w:cs="Arial"/>
          <w:b/>
          <w:sz w:val="22"/>
          <w:szCs w:val="22"/>
          <w:u w:val="single"/>
          <w:lang w:val="en-US"/>
        </w:rPr>
        <w:t xml:space="preserve"> ‘best practice’ curriculum</w:t>
      </w:r>
      <w:r w:rsidR="00A15DF3" w:rsidRPr="00C858BC">
        <w:rPr>
          <w:rFonts w:ascii="Arial" w:hAnsi="Arial" w:cs="Arial"/>
          <w:b/>
          <w:sz w:val="22"/>
          <w:szCs w:val="22"/>
          <w:u w:val="single"/>
          <w:lang w:val="en-US"/>
        </w:rPr>
        <w:t xml:space="preserve"> for </w:t>
      </w:r>
      <w:r w:rsidR="00872D3B" w:rsidRPr="00C858BC">
        <w:rPr>
          <w:rFonts w:ascii="Arial" w:hAnsi="Arial" w:cs="Arial"/>
          <w:b/>
          <w:sz w:val="22"/>
          <w:szCs w:val="22"/>
          <w:u w:val="single"/>
          <w:lang w:val="en-US"/>
        </w:rPr>
        <w:t>student</w:t>
      </w:r>
      <w:r w:rsidR="00A15DF3" w:rsidRPr="00C858BC">
        <w:rPr>
          <w:rFonts w:ascii="Arial" w:hAnsi="Arial" w:cs="Arial"/>
          <w:b/>
          <w:sz w:val="22"/>
          <w:szCs w:val="22"/>
          <w:u w:val="single"/>
          <w:lang w:val="en-US"/>
        </w:rPr>
        <w:t xml:space="preserve"> teaching of anaesthesia and perioperative medicine</w:t>
      </w:r>
      <w:r w:rsidR="00872D3B" w:rsidRPr="00C858BC">
        <w:rPr>
          <w:rFonts w:ascii="Arial" w:hAnsi="Arial" w:cs="Arial"/>
          <w:b/>
          <w:sz w:val="22"/>
          <w:szCs w:val="22"/>
          <w:u w:val="single"/>
          <w:lang w:val="en-US"/>
        </w:rPr>
        <w:t xml:space="preserve"> look like?</w:t>
      </w:r>
    </w:p>
    <w:p w14:paraId="21D16F18" w14:textId="0C5BC95E" w:rsidR="00A15DF3" w:rsidRPr="00C858BC" w:rsidRDefault="00A15DF3" w:rsidP="00C858BC">
      <w:pPr>
        <w:widowControl w:val="0"/>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Recent Australian and New Zealand consensus guidelines noted that the operating theatre and pain rounds are ideal environments for undergraduate anaesthesia and perioperative medicine teaching.</w:t>
      </w:r>
      <w:r w:rsidR="00564BCF" w:rsidRPr="00C858BC">
        <w:rPr>
          <w:rFonts w:ascii="Arial" w:hAnsi="Arial" w:cs="Arial"/>
          <w:sz w:val="22"/>
          <w:szCs w:val="22"/>
          <w:vertAlign w:val="superscript"/>
          <w:lang w:val="en-US"/>
        </w:rPr>
        <w:t>6</w:t>
      </w:r>
      <w:r w:rsidRPr="00C858BC">
        <w:rPr>
          <w:rFonts w:ascii="Arial" w:hAnsi="Arial" w:cs="Arial"/>
          <w:sz w:val="22"/>
          <w:szCs w:val="22"/>
          <w:vertAlign w:val="superscript"/>
          <w:lang w:val="en-US"/>
        </w:rPr>
        <w:t xml:space="preserve"> </w:t>
      </w:r>
      <w:r w:rsidRPr="00C858BC">
        <w:rPr>
          <w:rFonts w:ascii="Arial" w:hAnsi="Arial" w:cs="Arial"/>
          <w:sz w:val="22"/>
          <w:szCs w:val="22"/>
          <w:lang w:val="en-US"/>
        </w:rPr>
        <w:t xml:space="preserve">Anaesthesia curricula should be taught in the more senior years, be of 3-4 weeks’ duration, and occur with collaboration from others as appropriate </w:t>
      </w:r>
      <w:proofErr w:type="spellStart"/>
      <w:r w:rsidRPr="00C858BC">
        <w:rPr>
          <w:rFonts w:ascii="Arial" w:hAnsi="Arial" w:cs="Arial"/>
          <w:sz w:val="22"/>
          <w:szCs w:val="22"/>
          <w:lang w:val="en-US"/>
        </w:rPr>
        <w:t>eg</w:t>
      </w:r>
      <w:proofErr w:type="spellEnd"/>
      <w:r w:rsidRPr="00C858BC">
        <w:rPr>
          <w:rFonts w:ascii="Arial" w:hAnsi="Arial" w:cs="Arial"/>
          <w:sz w:val="22"/>
          <w:szCs w:val="22"/>
          <w:lang w:val="en-US"/>
        </w:rPr>
        <w:t xml:space="preserve"> intensivists and pain nurses. The content should encompass general</w:t>
      </w:r>
      <w:r w:rsidR="007975E9" w:rsidRPr="00C858BC">
        <w:rPr>
          <w:rFonts w:ascii="Arial" w:hAnsi="Arial" w:cs="Arial"/>
          <w:sz w:val="22"/>
          <w:szCs w:val="22"/>
          <w:lang w:val="en-US"/>
        </w:rPr>
        <w:t xml:space="preserve"> peri</w:t>
      </w:r>
      <w:r w:rsidRPr="00C858BC">
        <w:rPr>
          <w:rFonts w:ascii="Arial" w:hAnsi="Arial" w:cs="Arial"/>
          <w:sz w:val="22"/>
          <w:szCs w:val="22"/>
          <w:lang w:val="en-US"/>
        </w:rPr>
        <w:t>operative and critical care knowledge with relevant clinical, procedural, ethical, and professional skills</w:t>
      </w:r>
      <w:r w:rsidR="00BE1404" w:rsidRPr="00C858BC">
        <w:rPr>
          <w:rFonts w:ascii="Arial" w:hAnsi="Arial" w:cs="Arial"/>
          <w:sz w:val="22"/>
          <w:szCs w:val="22"/>
          <w:lang w:val="en-US"/>
        </w:rPr>
        <w:t xml:space="preserve"> as per table 1</w:t>
      </w:r>
      <w:r w:rsidRPr="00C858BC">
        <w:rPr>
          <w:rFonts w:ascii="Arial" w:hAnsi="Arial" w:cs="Arial"/>
          <w:sz w:val="22"/>
          <w:szCs w:val="22"/>
          <w:lang w:val="en-US"/>
        </w:rPr>
        <w:t>. None of the respondents to this survey felt that teaching students the details of clinical anaesthesia was an important goal.</w:t>
      </w:r>
    </w:p>
    <w:p w14:paraId="00B2DD25" w14:textId="77777777" w:rsidR="00A15DF3" w:rsidRPr="00C858BC" w:rsidRDefault="00A15DF3" w:rsidP="00C858BC">
      <w:pPr>
        <w:spacing w:line="360" w:lineRule="auto"/>
        <w:rPr>
          <w:rFonts w:ascii="Arial" w:hAnsi="Arial" w:cs="Arial"/>
          <w:sz w:val="22"/>
          <w:szCs w:val="22"/>
        </w:rPr>
      </w:pPr>
    </w:p>
    <w:p w14:paraId="57E3F68E" w14:textId="16FCEC04" w:rsidR="000F4390" w:rsidRPr="00C858BC" w:rsidRDefault="000F4390" w:rsidP="00C858BC">
      <w:pPr>
        <w:spacing w:line="360" w:lineRule="auto"/>
        <w:rPr>
          <w:rFonts w:ascii="Arial" w:hAnsi="Arial" w:cs="Arial"/>
          <w:sz w:val="22"/>
          <w:szCs w:val="22"/>
        </w:rPr>
      </w:pPr>
      <w:r w:rsidRPr="00C858BC">
        <w:rPr>
          <w:rFonts w:ascii="Arial" w:hAnsi="Arial" w:cs="Arial"/>
          <w:sz w:val="22"/>
          <w:szCs w:val="22"/>
        </w:rPr>
        <w:lastRenderedPageBreak/>
        <w:t>In 1901, Dr Dudley Buxton, the Vice-President of the Society of Anaesthetists in the UK called for the introduction of a standardised study of anaesthesia knowledge and practical skills as a compulsory subject in the medical curriculum.</w:t>
      </w:r>
      <w:r w:rsidR="00564BCF" w:rsidRPr="00C858BC">
        <w:rPr>
          <w:rFonts w:ascii="Arial" w:hAnsi="Arial" w:cs="Arial"/>
          <w:sz w:val="22"/>
          <w:szCs w:val="22"/>
          <w:vertAlign w:val="superscript"/>
        </w:rPr>
        <w:t>20</w:t>
      </w:r>
      <w:r w:rsidRPr="00C858BC">
        <w:rPr>
          <w:rFonts w:ascii="Arial" w:hAnsi="Arial" w:cs="Arial"/>
          <w:sz w:val="22"/>
          <w:szCs w:val="22"/>
        </w:rPr>
        <w:t xml:space="preserve"> </w:t>
      </w:r>
      <w:r w:rsidR="00B31756" w:rsidRPr="00C858BC">
        <w:rPr>
          <w:rFonts w:ascii="Arial" w:hAnsi="Arial" w:cs="Arial"/>
          <w:sz w:val="22"/>
          <w:szCs w:val="22"/>
        </w:rPr>
        <w:t xml:space="preserve">The reasons for this may have changed slightly over time, but many of the issues he discussed in implementing such a curriculum have not. </w:t>
      </w:r>
      <w:r w:rsidRPr="00C858BC">
        <w:rPr>
          <w:rFonts w:ascii="Arial" w:hAnsi="Arial" w:cs="Arial"/>
          <w:sz w:val="22"/>
          <w:szCs w:val="22"/>
        </w:rPr>
        <w:t>Over 100 ye</w:t>
      </w:r>
      <w:r w:rsidR="00B31756" w:rsidRPr="00C858BC">
        <w:rPr>
          <w:rFonts w:ascii="Arial" w:hAnsi="Arial" w:cs="Arial"/>
          <w:sz w:val="22"/>
          <w:szCs w:val="22"/>
        </w:rPr>
        <w:t>ars</w:t>
      </w:r>
      <w:r w:rsidRPr="00C858BC">
        <w:rPr>
          <w:rFonts w:ascii="Arial" w:hAnsi="Arial" w:cs="Arial"/>
          <w:sz w:val="22"/>
          <w:szCs w:val="22"/>
        </w:rPr>
        <w:t xml:space="preserve"> later, we repeat this call.</w:t>
      </w:r>
    </w:p>
    <w:p w14:paraId="528F47F1" w14:textId="77777777" w:rsidR="005E497E" w:rsidRPr="00C858BC" w:rsidRDefault="005E497E" w:rsidP="00C858BC">
      <w:pPr>
        <w:spacing w:line="360" w:lineRule="auto"/>
        <w:rPr>
          <w:rFonts w:ascii="Arial" w:hAnsi="Arial" w:cs="Arial"/>
          <w:sz w:val="22"/>
          <w:szCs w:val="22"/>
        </w:rPr>
      </w:pPr>
    </w:p>
    <w:p w14:paraId="6011A99F" w14:textId="77777777" w:rsidR="000F4390" w:rsidRPr="00C858BC" w:rsidRDefault="000F4390" w:rsidP="00C858BC">
      <w:pPr>
        <w:spacing w:line="360" w:lineRule="auto"/>
        <w:rPr>
          <w:rFonts w:ascii="Arial" w:hAnsi="Arial" w:cs="Arial"/>
          <w:sz w:val="22"/>
          <w:szCs w:val="22"/>
        </w:rPr>
      </w:pPr>
    </w:p>
    <w:p w14:paraId="185D3C28" w14:textId="77777777" w:rsidR="00B97545" w:rsidRPr="00C858BC" w:rsidRDefault="00B97545" w:rsidP="00C858BC">
      <w:pPr>
        <w:pStyle w:val="FootnoteText"/>
        <w:spacing w:line="360" w:lineRule="auto"/>
        <w:rPr>
          <w:rFonts w:ascii="Arial" w:hAnsi="Arial" w:cs="Arial"/>
          <w:b/>
          <w:sz w:val="22"/>
          <w:szCs w:val="22"/>
          <w:u w:val="thick"/>
        </w:rPr>
      </w:pPr>
    </w:p>
    <w:p w14:paraId="4BD993A9" w14:textId="77777777" w:rsidR="00B97545" w:rsidRPr="00C858BC" w:rsidRDefault="00B97545" w:rsidP="00C858BC">
      <w:pPr>
        <w:pStyle w:val="FootnoteText"/>
        <w:spacing w:line="360" w:lineRule="auto"/>
        <w:rPr>
          <w:rFonts w:ascii="Arial" w:hAnsi="Arial" w:cs="Arial"/>
          <w:b/>
          <w:sz w:val="22"/>
          <w:szCs w:val="22"/>
          <w:u w:val="thick"/>
        </w:rPr>
      </w:pPr>
    </w:p>
    <w:p w14:paraId="75029F05" w14:textId="77777777" w:rsidR="00B97545" w:rsidRPr="00C858BC" w:rsidRDefault="00B97545" w:rsidP="00C858BC">
      <w:pPr>
        <w:pStyle w:val="FootnoteText"/>
        <w:spacing w:line="360" w:lineRule="auto"/>
        <w:rPr>
          <w:rFonts w:ascii="Arial" w:hAnsi="Arial" w:cs="Arial"/>
          <w:b/>
          <w:sz w:val="22"/>
          <w:szCs w:val="22"/>
          <w:u w:val="thick"/>
        </w:rPr>
      </w:pPr>
    </w:p>
    <w:p w14:paraId="3FE02499" w14:textId="77777777" w:rsidR="00A22B31" w:rsidRPr="00C858BC" w:rsidRDefault="005E497E" w:rsidP="00C858BC">
      <w:pPr>
        <w:pStyle w:val="FootnoteText"/>
        <w:spacing w:line="360" w:lineRule="auto"/>
        <w:rPr>
          <w:rFonts w:ascii="Arial" w:hAnsi="Arial" w:cs="Arial"/>
          <w:sz w:val="22"/>
          <w:szCs w:val="22"/>
        </w:rPr>
      </w:pPr>
      <w:r w:rsidRPr="00C858BC">
        <w:rPr>
          <w:rFonts w:ascii="Arial" w:hAnsi="Arial" w:cs="Arial"/>
          <w:b/>
          <w:sz w:val="22"/>
          <w:szCs w:val="22"/>
          <w:u w:val="thick"/>
        </w:rPr>
        <w:t>References:</w:t>
      </w:r>
      <w:r w:rsidRPr="00C858BC">
        <w:rPr>
          <w:rFonts w:ascii="Arial" w:hAnsi="Arial" w:cs="Arial"/>
          <w:sz w:val="22"/>
          <w:szCs w:val="22"/>
        </w:rPr>
        <w:br/>
      </w:r>
    </w:p>
    <w:p w14:paraId="25069DA2" w14:textId="6B574D3E" w:rsidR="006D6955" w:rsidRPr="00C858BC" w:rsidRDefault="006D6955" w:rsidP="00C858BC">
      <w:pPr>
        <w:pStyle w:val="FootnoteText"/>
        <w:numPr>
          <w:ilvl w:val="0"/>
          <w:numId w:val="7"/>
        </w:numPr>
        <w:spacing w:line="360" w:lineRule="auto"/>
        <w:rPr>
          <w:rFonts w:ascii="Arial" w:hAnsi="Arial" w:cs="Arial"/>
          <w:sz w:val="22"/>
          <w:szCs w:val="22"/>
        </w:rPr>
      </w:pPr>
      <w:r w:rsidRPr="00C858BC">
        <w:rPr>
          <w:rFonts w:ascii="Arial" w:hAnsi="Arial" w:cs="Arial"/>
          <w:sz w:val="22"/>
          <w:szCs w:val="22"/>
        </w:rPr>
        <w:t>Association of Medical Deans of Australia and New Zealand</w:t>
      </w:r>
      <w:r w:rsidR="00B97545" w:rsidRPr="00C858BC">
        <w:rPr>
          <w:rFonts w:ascii="Arial" w:hAnsi="Arial" w:cs="Arial"/>
          <w:sz w:val="22"/>
          <w:szCs w:val="22"/>
        </w:rPr>
        <w:t>:</w:t>
      </w:r>
    </w:p>
    <w:p w14:paraId="67508C28" w14:textId="3A81EB25" w:rsidR="00B97545" w:rsidRPr="00C858BC" w:rsidRDefault="00041257" w:rsidP="00C858BC">
      <w:pPr>
        <w:pStyle w:val="FootnoteText"/>
        <w:spacing w:line="360" w:lineRule="auto"/>
        <w:rPr>
          <w:rFonts w:ascii="Arial" w:hAnsi="Arial" w:cs="Arial"/>
          <w:sz w:val="22"/>
          <w:szCs w:val="22"/>
        </w:rPr>
      </w:pPr>
      <w:hyperlink r:id="rId9" w:history="1">
        <w:r w:rsidR="00B97545" w:rsidRPr="00C858BC">
          <w:rPr>
            <w:rStyle w:val="Hyperlink"/>
            <w:rFonts w:ascii="Arial" w:hAnsi="Arial" w:cs="Arial"/>
            <w:sz w:val="22"/>
            <w:szCs w:val="22"/>
          </w:rPr>
          <w:t>http://www.medicaldeans.org.au/wp-content/uploads/Website-Stats-2013-Table-4.pdf</w:t>
        </w:r>
      </w:hyperlink>
      <w:r w:rsidR="00B97545" w:rsidRPr="00C858BC">
        <w:rPr>
          <w:rFonts w:ascii="Arial" w:hAnsi="Arial" w:cs="Arial"/>
          <w:sz w:val="22"/>
          <w:szCs w:val="22"/>
        </w:rPr>
        <w:t>. Accessed May 2015</w:t>
      </w:r>
    </w:p>
    <w:p w14:paraId="09DA0F2B" w14:textId="77777777" w:rsidR="006D6955" w:rsidRPr="00C858BC" w:rsidRDefault="006D6955" w:rsidP="00C858BC">
      <w:pPr>
        <w:pStyle w:val="FootnoteText"/>
        <w:spacing w:line="360" w:lineRule="auto"/>
        <w:rPr>
          <w:rFonts w:ascii="Arial" w:hAnsi="Arial" w:cs="Arial"/>
          <w:sz w:val="22"/>
          <w:szCs w:val="22"/>
        </w:rPr>
      </w:pPr>
    </w:p>
    <w:p w14:paraId="24B79193" w14:textId="7EBD84A4" w:rsidR="00564BCF" w:rsidRPr="00C858BC" w:rsidRDefault="009563CD" w:rsidP="00C858BC">
      <w:pPr>
        <w:pStyle w:val="FootnoteText"/>
        <w:numPr>
          <w:ilvl w:val="0"/>
          <w:numId w:val="7"/>
        </w:numPr>
        <w:spacing w:line="360" w:lineRule="auto"/>
        <w:rPr>
          <w:rFonts w:ascii="Arial" w:hAnsi="Arial" w:cs="Arial"/>
          <w:sz w:val="22"/>
          <w:szCs w:val="22"/>
        </w:rPr>
      </w:pPr>
      <w:r w:rsidRPr="00C858BC">
        <w:rPr>
          <w:rFonts w:ascii="Arial" w:hAnsi="Arial" w:cs="Arial"/>
          <w:sz w:val="22"/>
          <w:szCs w:val="22"/>
        </w:rPr>
        <w:t>Sullivan KR, Rollins MD. Innovations in anaesthesia medical student</w:t>
      </w:r>
    </w:p>
    <w:p w14:paraId="2C1E6F5D" w14:textId="619DA580" w:rsidR="009563CD" w:rsidRPr="00C858BC" w:rsidRDefault="009563CD" w:rsidP="00C858BC">
      <w:pPr>
        <w:pStyle w:val="FootnoteText"/>
        <w:spacing w:line="360" w:lineRule="auto"/>
        <w:rPr>
          <w:rFonts w:ascii="Arial" w:hAnsi="Arial" w:cs="Arial"/>
          <w:sz w:val="22"/>
          <w:szCs w:val="22"/>
        </w:rPr>
      </w:pPr>
      <w:proofErr w:type="gramStart"/>
      <w:r w:rsidRPr="00C858BC">
        <w:rPr>
          <w:rFonts w:ascii="Arial" w:hAnsi="Arial" w:cs="Arial"/>
          <w:sz w:val="22"/>
          <w:szCs w:val="22"/>
        </w:rPr>
        <w:t>clerkships</w:t>
      </w:r>
      <w:proofErr w:type="gramEnd"/>
      <w:r w:rsidRPr="00C858BC">
        <w:rPr>
          <w:rFonts w:ascii="Arial" w:hAnsi="Arial" w:cs="Arial"/>
          <w:sz w:val="22"/>
          <w:szCs w:val="22"/>
        </w:rPr>
        <w:t xml:space="preserve">. Best </w:t>
      </w:r>
      <w:proofErr w:type="spellStart"/>
      <w:r w:rsidRPr="00C858BC">
        <w:rPr>
          <w:rFonts w:ascii="Arial" w:hAnsi="Arial" w:cs="Arial"/>
          <w:sz w:val="22"/>
          <w:szCs w:val="22"/>
        </w:rPr>
        <w:t>Pract</w:t>
      </w:r>
      <w:proofErr w:type="spellEnd"/>
      <w:r w:rsidRPr="00C858BC">
        <w:rPr>
          <w:rFonts w:ascii="Arial" w:hAnsi="Arial" w:cs="Arial"/>
          <w:sz w:val="22"/>
          <w:szCs w:val="22"/>
        </w:rPr>
        <w:t xml:space="preserve"> Res </w:t>
      </w:r>
      <w:proofErr w:type="spellStart"/>
      <w:r w:rsidRPr="00C858BC">
        <w:rPr>
          <w:rFonts w:ascii="Arial" w:hAnsi="Arial" w:cs="Arial"/>
          <w:sz w:val="22"/>
          <w:szCs w:val="22"/>
        </w:rPr>
        <w:t>Clin</w:t>
      </w:r>
      <w:proofErr w:type="spellEnd"/>
      <w:r w:rsidRPr="00C858BC">
        <w:rPr>
          <w:rFonts w:ascii="Arial" w:hAnsi="Arial" w:cs="Arial"/>
          <w:sz w:val="22"/>
          <w:szCs w:val="22"/>
        </w:rPr>
        <w:t xml:space="preserve"> </w:t>
      </w:r>
      <w:proofErr w:type="spellStart"/>
      <w:r w:rsidRPr="00C858BC">
        <w:rPr>
          <w:rFonts w:ascii="Arial" w:hAnsi="Arial" w:cs="Arial"/>
          <w:sz w:val="22"/>
          <w:szCs w:val="22"/>
        </w:rPr>
        <w:t>Anaesthesiol</w:t>
      </w:r>
      <w:proofErr w:type="spellEnd"/>
      <w:r w:rsidRPr="00C858BC">
        <w:rPr>
          <w:rFonts w:ascii="Arial" w:hAnsi="Arial" w:cs="Arial"/>
          <w:sz w:val="22"/>
          <w:szCs w:val="22"/>
        </w:rPr>
        <w:t xml:space="preserve"> 2012; 26:23-32.</w:t>
      </w:r>
    </w:p>
    <w:p w14:paraId="1C193A8D" w14:textId="77777777" w:rsidR="009563CD" w:rsidRPr="00C858BC" w:rsidRDefault="009563CD" w:rsidP="00C858BC">
      <w:pPr>
        <w:pStyle w:val="FootnoteText"/>
        <w:spacing w:line="360" w:lineRule="auto"/>
        <w:rPr>
          <w:rFonts w:ascii="Arial" w:hAnsi="Arial" w:cs="Arial"/>
          <w:sz w:val="22"/>
          <w:szCs w:val="22"/>
        </w:rPr>
      </w:pPr>
    </w:p>
    <w:p w14:paraId="365964D9" w14:textId="4943E7D1" w:rsidR="009563CD" w:rsidRPr="00C858BC" w:rsidRDefault="009563CD" w:rsidP="00C858BC">
      <w:pPr>
        <w:pStyle w:val="FootnoteText"/>
        <w:numPr>
          <w:ilvl w:val="0"/>
          <w:numId w:val="7"/>
        </w:numPr>
        <w:spacing w:line="360" w:lineRule="auto"/>
        <w:rPr>
          <w:rFonts w:ascii="Arial" w:hAnsi="Arial" w:cs="Arial"/>
          <w:sz w:val="22"/>
          <w:szCs w:val="22"/>
        </w:rPr>
      </w:pPr>
      <w:r w:rsidRPr="00C858BC">
        <w:rPr>
          <w:rFonts w:ascii="Arial" w:hAnsi="Arial" w:cs="Arial"/>
          <w:sz w:val="22"/>
          <w:szCs w:val="22"/>
        </w:rPr>
        <w:t>Rohan D, Ahern S, Walsh K. Defining an anaesthetic curriculum</w:t>
      </w:r>
    </w:p>
    <w:p w14:paraId="1E7EA4D0" w14:textId="77777777" w:rsidR="009563CD" w:rsidRPr="00C858BC" w:rsidRDefault="009563CD" w:rsidP="00C858BC">
      <w:pPr>
        <w:pStyle w:val="FootnoteText"/>
        <w:spacing w:line="360" w:lineRule="auto"/>
        <w:rPr>
          <w:rFonts w:ascii="Arial" w:hAnsi="Arial" w:cs="Arial"/>
          <w:sz w:val="22"/>
          <w:szCs w:val="22"/>
        </w:rPr>
      </w:pPr>
      <w:proofErr w:type="gramStart"/>
      <w:r w:rsidRPr="00C858BC">
        <w:rPr>
          <w:rFonts w:ascii="Arial" w:hAnsi="Arial" w:cs="Arial"/>
          <w:sz w:val="22"/>
          <w:szCs w:val="22"/>
        </w:rPr>
        <w:t>for</w:t>
      </w:r>
      <w:proofErr w:type="gramEnd"/>
      <w:r w:rsidRPr="00C858BC">
        <w:rPr>
          <w:rFonts w:ascii="Arial" w:hAnsi="Arial" w:cs="Arial"/>
          <w:sz w:val="22"/>
          <w:szCs w:val="22"/>
        </w:rPr>
        <w:t xml:space="preserve"> medical undergraduates. </w:t>
      </w:r>
      <w:proofErr w:type="gramStart"/>
      <w:r w:rsidRPr="00C858BC">
        <w:rPr>
          <w:rFonts w:ascii="Arial" w:hAnsi="Arial" w:cs="Arial"/>
          <w:sz w:val="22"/>
          <w:szCs w:val="22"/>
        </w:rPr>
        <w:t>A Delphi study.</w:t>
      </w:r>
      <w:proofErr w:type="gramEnd"/>
      <w:r w:rsidRPr="00C858BC">
        <w:rPr>
          <w:rFonts w:ascii="Arial" w:hAnsi="Arial" w:cs="Arial"/>
          <w:sz w:val="22"/>
          <w:szCs w:val="22"/>
        </w:rPr>
        <w:t xml:space="preserve"> Med Teach 2009;</w:t>
      </w:r>
    </w:p>
    <w:p w14:paraId="18E35662" w14:textId="2702A7C4" w:rsidR="00A25EBF" w:rsidRPr="00C858BC" w:rsidRDefault="009563CD" w:rsidP="00C858BC">
      <w:pPr>
        <w:pStyle w:val="FootnoteText"/>
        <w:spacing w:line="360" w:lineRule="auto"/>
        <w:rPr>
          <w:rFonts w:ascii="Arial" w:hAnsi="Arial" w:cs="Arial"/>
          <w:sz w:val="22"/>
          <w:szCs w:val="22"/>
        </w:rPr>
      </w:pPr>
      <w:r w:rsidRPr="00C858BC">
        <w:rPr>
          <w:rFonts w:ascii="Arial" w:hAnsi="Arial" w:cs="Arial"/>
          <w:sz w:val="22"/>
          <w:szCs w:val="22"/>
        </w:rPr>
        <w:t>31:e1-e5.</w:t>
      </w:r>
    </w:p>
    <w:p w14:paraId="18132CA3" w14:textId="77777777" w:rsidR="00A22B31" w:rsidRPr="00C858BC" w:rsidRDefault="00A22B31" w:rsidP="00C858BC">
      <w:pPr>
        <w:pStyle w:val="FootnoteText"/>
        <w:spacing w:line="360" w:lineRule="auto"/>
        <w:rPr>
          <w:rFonts w:ascii="Arial" w:hAnsi="Arial" w:cs="Arial"/>
          <w:sz w:val="22"/>
          <w:szCs w:val="22"/>
        </w:rPr>
      </w:pPr>
    </w:p>
    <w:p w14:paraId="3D3D2671" w14:textId="089B9894" w:rsidR="00A22B31" w:rsidRPr="00C858BC" w:rsidRDefault="00A22B31" w:rsidP="00C858BC">
      <w:pPr>
        <w:pStyle w:val="FootnoteText"/>
        <w:numPr>
          <w:ilvl w:val="0"/>
          <w:numId w:val="7"/>
        </w:numPr>
        <w:spacing w:line="360" w:lineRule="auto"/>
        <w:rPr>
          <w:rFonts w:ascii="Arial" w:hAnsi="Arial" w:cs="Arial"/>
          <w:sz w:val="22"/>
          <w:szCs w:val="22"/>
        </w:rPr>
      </w:pPr>
      <w:r w:rsidRPr="00C858BC">
        <w:rPr>
          <w:rFonts w:ascii="Arial" w:hAnsi="Arial" w:cs="Arial"/>
          <w:sz w:val="22"/>
          <w:szCs w:val="22"/>
        </w:rPr>
        <w:t xml:space="preserve">Health Workforce 2025: Volume 3 </w:t>
      </w:r>
      <w:r w:rsidR="00690EEA" w:rsidRPr="00C858BC">
        <w:rPr>
          <w:rFonts w:ascii="Arial" w:hAnsi="Arial" w:cs="Arial"/>
          <w:sz w:val="22"/>
          <w:szCs w:val="22"/>
        </w:rPr>
        <w:t>–</w:t>
      </w:r>
      <w:r w:rsidRPr="00C858BC">
        <w:rPr>
          <w:rFonts w:ascii="Arial" w:hAnsi="Arial" w:cs="Arial"/>
          <w:sz w:val="22"/>
          <w:szCs w:val="22"/>
        </w:rPr>
        <w:t xml:space="preserve"> </w:t>
      </w:r>
      <w:r w:rsidR="00690EEA" w:rsidRPr="00C858BC">
        <w:rPr>
          <w:rFonts w:ascii="Arial" w:hAnsi="Arial" w:cs="Arial"/>
          <w:sz w:val="22"/>
          <w:szCs w:val="22"/>
        </w:rPr>
        <w:t>Medical Specialties. Adelaide: Health Workforce Australia, 2012</w:t>
      </w:r>
    </w:p>
    <w:p w14:paraId="002FA395" w14:textId="77777777" w:rsidR="00690EEA" w:rsidRPr="00C858BC" w:rsidRDefault="00690EEA" w:rsidP="00C858BC">
      <w:pPr>
        <w:pStyle w:val="FootnoteText"/>
        <w:spacing w:line="360" w:lineRule="auto"/>
        <w:rPr>
          <w:rFonts w:ascii="Arial" w:hAnsi="Arial" w:cs="Arial"/>
          <w:sz w:val="22"/>
          <w:szCs w:val="22"/>
        </w:rPr>
      </w:pPr>
    </w:p>
    <w:p w14:paraId="5E7D11FF" w14:textId="2DCC4E39" w:rsidR="00A22B31" w:rsidRPr="00C858BC" w:rsidRDefault="00A22B31" w:rsidP="00C858BC">
      <w:pPr>
        <w:pStyle w:val="FootnoteText"/>
        <w:numPr>
          <w:ilvl w:val="0"/>
          <w:numId w:val="7"/>
        </w:numPr>
        <w:spacing w:line="360" w:lineRule="auto"/>
        <w:rPr>
          <w:rFonts w:ascii="Arial" w:hAnsi="Arial" w:cs="Arial"/>
          <w:sz w:val="22"/>
          <w:szCs w:val="22"/>
        </w:rPr>
      </w:pPr>
      <w:r w:rsidRPr="00C858BC">
        <w:rPr>
          <w:rFonts w:ascii="Arial" w:hAnsi="Arial" w:cs="Arial"/>
          <w:sz w:val="22"/>
          <w:szCs w:val="22"/>
        </w:rPr>
        <w:t>Cullen A. The New Zealand Medical Workforce in 2011. Wellington: Medical Council of New Zealand, 2011</w:t>
      </w:r>
    </w:p>
    <w:p w14:paraId="7F283FA5" w14:textId="77777777" w:rsidR="00A22B31" w:rsidRPr="00C858BC" w:rsidRDefault="00A22B31" w:rsidP="00C858BC">
      <w:pPr>
        <w:pStyle w:val="FootnoteText"/>
        <w:spacing w:line="360" w:lineRule="auto"/>
        <w:rPr>
          <w:rFonts w:ascii="Arial" w:hAnsi="Arial" w:cs="Arial"/>
          <w:sz w:val="22"/>
          <w:szCs w:val="22"/>
        </w:rPr>
      </w:pPr>
    </w:p>
    <w:p w14:paraId="4C63470F" w14:textId="2D87BB71" w:rsidR="005E497E" w:rsidRPr="00C858BC" w:rsidRDefault="005E497E" w:rsidP="00C858BC">
      <w:pPr>
        <w:pStyle w:val="FootnoteText"/>
        <w:numPr>
          <w:ilvl w:val="0"/>
          <w:numId w:val="7"/>
        </w:numPr>
        <w:spacing w:line="360" w:lineRule="auto"/>
        <w:rPr>
          <w:rFonts w:ascii="Arial" w:hAnsi="Arial" w:cs="Arial"/>
          <w:sz w:val="22"/>
          <w:szCs w:val="22"/>
          <w:lang w:val="en-US"/>
        </w:rPr>
      </w:pPr>
      <w:r w:rsidRPr="00C858BC">
        <w:rPr>
          <w:rFonts w:ascii="Arial" w:hAnsi="Arial" w:cs="Arial"/>
          <w:sz w:val="22"/>
          <w:szCs w:val="22"/>
          <w:lang w:val="en-US"/>
        </w:rPr>
        <w:t>Overton</w:t>
      </w:r>
      <w:r w:rsidR="002C2584" w:rsidRPr="00C858BC">
        <w:rPr>
          <w:rFonts w:ascii="Arial" w:hAnsi="Arial" w:cs="Arial"/>
          <w:sz w:val="22"/>
          <w:szCs w:val="22"/>
          <w:lang w:val="en-US"/>
        </w:rPr>
        <w:t xml:space="preserve"> MJ</w:t>
      </w:r>
      <w:r w:rsidRPr="00C858BC">
        <w:rPr>
          <w:rFonts w:ascii="Arial" w:hAnsi="Arial" w:cs="Arial"/>
          <w:sz w:val="22"/>
          <w:szCs w:val="22"/>
          <w:lang w:val="en-US"/>
        </w:rPr>
        <w:t>, Smith</w:t>
      </w:r>
      <w:r w:rsidR="002C2584" w:rsidRPr="00C858BC">
        <w:rPr>
          <w:rFonts w:ascii="Arial" w:hAnsi="Arial" w:cs="Arial"/>
          <w:sz w:val="22"/>
          <w:szCs w:val="22"/>
          <w:lang w:val="en-US"/>
        </w:rPr>
        <w:t xml:space="preserve"> NA.</w:t>
      </w:r>
      <w:r w:rsidRPr="00C858BC">
        <w:rPr>
          <w:rFonts w:ascii="Arial" w:hAnsi="Arial" w:cs="Arial"/>
          <w:sz w:val="22"/>
          <w:szCs w:val="22"/>
          <w:lang w:val="en-US"/>
        </w:rPr>
        <w:t xml:space="preserve"> Anaesthesia priorities for Australian and New Zealand medical school curricula: a Delphi consensus of academic anaesthetists. </w:t>
      </w:r>
      <w:proofErr w:type="spellStart"/>
      <w:r w:rsidRPr="00C858BC">
        <w:rPr>
          <w:rFonts w:ascii="Arial" w:hAnsi="Arial" w:cs="Arial"/>
          <w:sz w:val="22"/>
          <w:szCs w:val="22"/>
          <w:lang w:val="en-US"/>
        </w:rPr>
        <w:t>Anaesth</w:t>
      </w:r>
      <w:proofErr w:type="spellEnd"/>
      <w:r w:rsidRPr="00C858BC">
        <w:rPr>
          <w:rFonts w:ascii="Arial" w:hAnsi="Arial" w:cs="Arial"/>
          <w:sz w:val="22"/>
          <w:szCs w:val="22"/>
          <w:lang w:val="en-US"/>
        </w:rPr>
        <w:t xml:space="preserve"> Intensive Care 2015; 43: 51 – 58 </w:t>
      </w:r>
    </w:p>
    <w:p w14:paraId="15D9B95F" w14:textId="77777777" w:rsidR="00A25EBF" w:rsidRPr="00C858BC" w:rsidRDefault="00A25EBF" w:rsidP="00C858BC">
      <w:pPr>
        <w:pStyle w:val="FootnoteText"/>
        <w:spacing w:line="360" w:lineRule="auto"/>
        <w:rPr>
          <w:rFonts w:ascii="Arial" w:hAnsi="Arial" w:cs="Arial"/>
          <w:sz w:val="22"/>
          <w:szCs w:val="22"/>
          <w:lang w:val="en-US"/>
        </w:rPr>
      </w:pPr>
    </w:p>
    <w:p w14:paraId="2A9863B3" w14:textId="2C15DE41" w:rsidR="009563CD" w:rsidRPr="00C858BC" w:rsidRDefault="009563CD" w:rsidP="00C858BC">
      <w:pPr>
        <w:pStyle w:val="ListParagraph"/>
        <w:numPr>
          <w:ilvl w:val="0"/>
          <w:numId w:val="7"/>
        </w:numPr>
        <w:autoSpaceDE w:val="0"/>
        <w:autoSpaceDN w:val="0"/>
        <w:adjustRightInd w:val="0"/>
        <w:spacing w:line="360" w:lineRule="auto"/>
        <w:rPr>
          <w:rFonts w:ascii="Arial" w:hAnsi="Arial" w:cs="Arial"/>
          <w:sz w:val="22"/>
          <w:szCs w:val="22"/>
        </w:rPr>
      </w:pPr>
      <w:bookmarkStart w:id="0" w:name="_ENREF_45"/>
      <w:bookmarkStart w:id="1" w:name="_ENREF_46"/>
      <w:r w:rsidRPr="00C858BC">
        <w:rPr>
          <w:rFonts w:ascii="Arial" w:hAnsi="Arial" w:cs="Arial"/>
          <w:sz w:val="22"/>
          <w:szCs w:val="22"/>
        </w:rPr>
        <w:t>Gould TH, Upton PM, Collins P. A survey of the intended management of acute post-operative pain by newly qualified doctors in the south-west region of England. Anaesthesia 1994; 49:807-810.</w:t>
      </w:r>
    </w:p>
    <w:p w14:paraId="333589CB" w14:textId="77777777" w:rsidR="009563CD" w:rsidRPr="00C858BC" w:rsidRDefault="009563CD" w:rsidP="00C858BC">
      <w:pPr>
        <w:autoSpaceDE w:val="0"/>
        <w:autoSpaceDN w:val="0"/>
        <w:adjustRightInd w:val="0"/>
        <w:spacing w:line="360" w:lineRule="auto"/>
        <w:rPr>
          <w:rFonts w:ascii="Arial" w:hAnsi="Arial" w:cs="Arial"/>
          <w:sz w:val="22"/>
          <w:szCs w:val="22"/>
        </w:rPr>
      </w:pPr>
    </w:p>
    <w:p w14:paraId="27F405D4" w14:textId="7AE0D1D0" w:rsidR="009563CD" w:rsidRPr="00C858BC" w:rsidRDefault="009563CD" w:rsidP="00C858BC">
      <w:pPr>
        <w:pStyle w:val="ListParagraph"/>
        <w:numPr>
          <w:ilvl w:val="0"/>
          <w:numId w:val="7"/>
        </w:numPr>
        <w:autoSpaceDE w:val="0"/>
        <w:autoSpaceDN w:val="0"/>
        <w:adjustRightInd w:val="0"/>
        <w:spacing w:line="360" w:lineRule="auto"/>
        <w:rPr>
          <w:rFonts w:ascii="Arial" w:hAnsi="Arial" w:cs="Arial"/>
          <w:sz w:val="22"/>
          <w:szCs w:val="22"/>
        </w:rPr>
      </w:pPr>
      <w:r w:rsidRPr="00C858BC">
        <w:rPr>
          <w:rFonts w:ascii="Arial" w:hAnsi="Arial" w:cs="Arial"/>
          <w:sz w:val="22"/>
          <w:szCs w:val="22"/>
        </w:rPr>
        <w:lastRenderedPageBreak/>
        <w:t xml:space="preserve">Morgan PJ, Cleave-Hogg D, </w:t>
      </w:r>
      <w:proofErr w:type="spellStart"/>
      <w:r w:rsidRPr="00C858BC">
        <w:rPr>
          <w:rFonts w:ascii="Arial" w:hAnsi="Arial" w:cs="Arial"/>
          <w:sz w:val="22"/>
          <w:szCs w:val="22"/>
        </w:rPr>
        <w:t>DeSousa</w:t>
      </w:r>
      <w:proofErr w:type="spellEnd"/>
      <w:r w:rsidRPr="00C858BC">
        <w:rPr>
          <w:rFonts w:ascii="Arial" w:hAnsi="Arial" w:cs="Arial"/>
          <w:sz w:val="22"/>
          <w:szCs w:val="22"/>
        </w:rPr>
        <w:t xml:space="preserve"> S, </w:t>
      </w:r>
      <w:proofErr w:type="spellStart"/>
      <w:r w:rsidRPr="00C858BC">
        <w:rPr>
          <w:rFonts w:ascii="Arial" w:hAnsi="Arial" w:cs="Arial"/>
          <w:sz w:val="22"/>
          <w:szCs w:val="22"/>
        </w:rPr>
        <w:t>Taeshis</w:t>
      </w:r>
      <w:proofErr w:type="spellEnd"/>
      <w:r w:rsidRPr="00C858BC">
        <w:rPr>
          <w:rFonts w:ascii="Arial" w:hAnsi="Arial" w:cs="Arial"/>
          <w:sz w:val="22"/>
          <w:szCs w:val="22"/>
        </w:rPr>
        <w:t xml:space="preserve"> J. Identification of gaps in the achievement of undergraduate anaesthesia educational objectives using high-fidelity patient simulation. </w:t>
      </w:r>
      <w:proofErr w:type="spellStart"/>
      <w:r w:rsidRPr="00C858BC">
        <w:rPr>
          <w:rFonts w:ascii="Arial" w:hAnsi="Arial" w:cs="Arial"/>
          <w:sz w:val="22"/>
          <w:szCs w:val="22"/>
        </w:rPr>
        <w:t>Anesth</w:t>
      </w:r>
      <w:proofErr w:type="spellEnd"/>
      <w:r w:rsidRPr="00C858BC">
        <w:rPr>
          <w:rFonts w:ascii="Arial" w:hAnsi="Arial" w:cs="Arial"/>
          <w:sz w:val="22"/>
          <w:szCs w:val="22"/>
        </w:rPr>
        <w:t xml:space="preserve"> </w:t>
      </w:r>
      <w:proofErr w:type="spellStart"/>
      <w:r w:rsidRPr="00C858BC">
        <w:rPr>
          <w:rFonts w:ascii="Arial" w:hAnsi="Arial" w:cs="Arial"/>
          <w:sz w:val="22"/>
          <w:szCs w:val="22"/>
        </w:rPr>
        <w:t>Analg</w:t>
      </w:r>
      <w:proofErr w:type="spellEnd"/>
      <w:r w:rsidRPr="00C858BC">
        <w:rPr>
          <w:rFonts w:ascii="Arial" w:hAnsi="Arial" w:cs="Arial"/>
          <w:sz w:val="22"/>
          <w:szCs w:val="22"/>
        </w:rPr>
        <w:t xml:space="preserve"> 2003; 97:1690-1694.</w:t>
      </w:r>
    </w:p>
    <w:p w14:paraId="57906660" w14:textId="77777777" w:rsidR="009563CD" w:rsidRPr="00C858BC" w:rsidRDefault="009563CD" w:rsidP="00C858BC">
      <w:pPr>
        <w:autoSpaceDE w:val="0"/>
        <w:autoSpaceDN w:val="0"/>
        <w:adjustRightInd w:val="0"/>
        <w:spacing w:line="360" w:lineRule="auto"/>
        <w:rPr>
          <w:rFonts w:ascii="Arial" w:hAnsi="Arial" w:cs="Arial"/>
          <w:sz w:val="22"/>
          <w:szCs w:val="22"/>
        </w:rPr>
      </w:pPr>
    </w:p>
    <w:bookmarkEnd w:id="0"/>
    <w:p w14:paraId="59B45697" w14:textId="0ECF9577" w:rsidR="009563CD" w:rsidRPr="00C858BC" w:rsidRDefault="009563CD" w:rsidP="00C858BC">
      <w:pPr>
        <w:pStyle w:val="ListParagraph"/>
        <w:numPr>
          <w:ilvl w:val="0"/>
          <w:numId w:val="7"/>
        </w:numPr>
        <w:autoSpaceDE w:val="0"/>
        <w:autoSpaceDN w:val="0"/>
        <w:adjustRightInd w:val="0"/>
        <w:spacing w:line="360" w:lineRule="auto"/>
        <w:rPr>
          <w:rFonts w:ascii="Arial" w:hAnsi="Arial" w:cs="Arial"/>
          <w:sz w:val="22"/>
          <w:szCs w:val="22"/>
        </w:rPr>
      </w:pPr>
      <w:r w:rsidRPr="00C858BC">
        <w:rPr>
          <w:rFonts w:ascii="Arial" w:hAnsi="Arial" w:cs="Arial"/>
          <w:sz w:val="22"/>
          <w:szCs w:val="22"/>
        </w:rPr>
        <w:t xml:space="preserve">Barnsley L, Lyon PM, Ralston SJ, </w:t>
      </w:r>
      <w:proofErr w:type="spellStart"/>
      <w:r w:rsidRPr="00C858BC">
        <w:rPr>
          <w:rFonts w:ascii="Arial" w:hAnsi="Arial" w:cs="Arial"/>
          <w:sz w:val="22"/>
          <w:szCs w:val="22"/>
        </w:rPr>
        <w:t>Hibbert</w:t>
      </w:r>
      <w:proofErr w:type="spellEnd"/>
      <w:r w:rsidRPr="00C858BC">
        <w:rPr>
          <w:rFonts w:ascii="Arial" w:hAnsi="Arial" w:cs="Arial"/>
          <w:sz w:val="22"/>
          <w:szCs w:val="22"/>
        </w:rPr>
        <w:t xml:space="preserve"> EJ, Cunningham I, Gordon FC et al. Clinical skills in junior medical officers: A comparison of self-reported confidence and observed competence. Med </w:t>
      </w:r>
      <w:proofErr w:type="spellStart"/>
      <w:r w:rsidRPr="00C858BC">
        <w:rPr>
          <w:rFonts w:ascii="Arial" w:hAnsi="Arial" w:cs="Arial"/>
          <w:sz w:val="22"/>
          <w:szCs w:val="22"/>
        </w:rPr>
        <w:t>Educ</w:t>
      </w:r>
      <w:proofErr w:type="spellEnd"/>
      <w:r w:rsidRPr="00C858BC">
        <w:rPr>
          <w:rFonts w:ascii="Arial" w:hAnsi="Arial" w:cs="Arial"/>
          <w:sz w:val="22"/>
          <w:szCs w:val="22"/>
        </w:rPr>
        <w:t xml:space="preserve"> 2004; 38:358-367.</w:t>
      </w:r>
    </w:p>
    <w:p w14:paraId="766ABB9D" w14:textId="77777777" w:rsidR="009563CD" w:rsidRPr="00C858BC" w:rsidRDefault="009563CD" w:rsidP="00C858BC">
      <w:pPr>
        <w:widowControl w:val="0"/>
        <w:tabs>
          <w:tab w:val="left" w:pos="3179"/>
        </w:tabs>
        <w:autoSpaceDE w:val="0"/>
        <w:autoSpaceDN w:val="0"/>
        <w:adjustRightInd w:val="0"/>
        <w:spacing w:line="360" w:lineRule="auto"/>
        <w:rPr>
          <w:rFonts w:ascii="Arial" w:hAnsi="Arial" w:cs="Arial"/>
          <w:sz w:val="22"/>
          <w:szCs w:val="22"/>
          <w:lang w:val="en-US"/>
        </w:rPr>
      </w:pPr>
    </w:p>
    <w:p w14:paraId="77AC714A" w14:textId="4B2EAAED" w:rsidR="009563CD" w:rsidRPr="00C858BC" w:rsidRDefault="009563CD" w:rsidP="00C858BC">
      <w:pPr>
        <w:pStyle w:val="NoSpacing"/>
        <w:numPr>
          <w:ilvl w:val="0"/>
          <w:numId w:val="7"/>
        </w:numPr>
        <w:spacing w:line="360" w:lineRule="auto"/>
        <w:rPr>
          <w:rFonts w:ascii="Arial" w:hAnsi="Arial" w:cs="Arial"/>
        </w:rPr>
      </w:pPr>
      <w:proofErr w:type="spellStart"/>
      <w:r w:rsidRPr="00C858BC">
        <w:rPr>
          <w:rFonts w:ascii="Arial" w:hAnsi="Arial" w:cs="Arial"/>
        </w:rPr>
        <w:t>Moercke</w:t>
      </w:r>
      <w:proofErr w:type="spellEnd"/>
      <w:r w:rsidRPr="00C858BC">
        <w:rPr>
          <w:rFonts w:ascii="Arial" w:hAnsi="Arial" w:cs="Arial"/>
        </w:rPr>
        <w:t xml:space="preserve"> AM, </w:t>
      </w:r>
      <w:proofErr w:type="spellStart"/>
      <w:r w:rsidRPr="00C858BC">
        <w:rPr>
          <w:rFonts w:ascii="Arial" w:hAnsi="Arial" w:cs="Arial"/>
        </w:rPr>
        <w:t>Eika</w:t>
      </w:r>
      <w:proofErr w:type="spellEnd"/>
      <w:r w:rsidRPr="00C858BC">
        <w:rPr>
          <w:rFonts w:ascii="Arial" w:hAnsi="Arial" w:cs="Arial"/>
        </w:rPr>
        <w:t xml:space="preserve"> B. What are the clinical skills levels of newly graduated physicians? Self-assessment study of an intended curriculum identified by a Delphi process. Med </w:t>
      </w:r>
      <w:proofErr w:type="spellStart"/>
      <w:r w:rsidRPr="00C858BC">
        <w:rPr>
          <w:rFonts w:ascii="Arial" w:hAnsi="Arial" w:cs="Arial"/>
        </w:rPr>
        <w:t>Educ</w:t>
      </w:r>
      <w:proofErr w:type="spellEnd"/>
      <w:r w:rsidRPr="00C858BC">
        <w:rPr>
          <w:rFonts w:ascii="Arial" w:hAnsi="Arial" w:cs="Arial"/>
        </w:rPr>
        <w:t xml:space="preserve"> 2002; 36:472–478.</w:t>
      </w:r>
    </w:p>
    <w:p w14:paraId="3CC8AC9C" w14:textId="77777777" w:rsidR="00A25EBF" w:rsidRPr="00C858BC" w:rsidRDefault="00A25EBF" w:rsidP="00C858BC">
      <w:pPr>
        <w:widowControl w:val="0"/>
        <w:tabs>
          <w:tab w:val="left" w:pos="3179"/>
        </w:tabs>
        <w:autoSpaceDE w:val="0"/>
        <w:autoSpaceDN w:val="0"/>
        <w:adjustRightInd w:val="0"/>
        <w:spacing w:line="360" w:lineRule="auto"/>
        <w:rPr>
          <w:rFonts w:ascii="Arial" w:hAnsi="Arial" w:cs="Arial"/>
          <w:sz w:val="22"/>
          <w:szCs w:val="22"/>
          <w:lang w:val="en-US"/>
        </w:rPr>
      </w:pPr>
    </w:p>
    <w:p w14:paraId="7992A127" w14:textId="37CE42E7" w:rsidR="00A25EBF" w:rsidRPr="00C858BC" w:rsidRDefault="00A25EBF" w:rsidP="00C858BC">
      <w:pPr>
        <w:pStyle w:val="ListParagraph"/>
        <w:widowControl w:val="0"/>
        <w:numPr>
          <w:ilvl w:val="0"/>
          <w:numId w:val="7"/>
        </w:numPr>
        <w:tabs>
          <w:tab w:val="left" w:pos="3179"/>
        </w:tabs>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Harrison GA, Hillman KM, </w:t>
      </w:r>
      <w:proofErr w:type="spellStart"/>
      <w:r w:rsidRPr="00C858BC">
        <w:rPr>
          <w:rFonts w:ascii="Arial" w:hAnsi="Arial" w:cs="Arial"/>
          <w:sz w:val="22"/>
          <w:szCs w:val="22"/>
          <w:lang w:val="en-US"/>
        </w:rPr>
        <w:t>Fulde</w:t>
      </w:r>
      <w:proofErr w:type="spellEnd"/>
      <w:r w:rsidRPr="00C858BC">
        <w:rPr>
          <w:rFonts w:ascii="Arial" w:hAnsi="Arial" w:cs="Arial"/>
          <w:sz w:val="22"/>
          <w:szCs w:val="22"/>
          <w:lang w:val="en-US"/>
        </w:rPr>
        <w:t xml:space="preserve"> GWO, Jacques TC. The need for undergraduate education in critical care. (Results of a questionnaire to Year 6 medical undergraduates, University of New South Wales and recommendations on a curriculum in critical care). Anaesthesia &amp; Intensive Care. 1999;</w:t>
      </w:r>
      <w:r w:rsidR="002C2584" w:rsidRPr="00C858BC">
        <w:rPr>
          <w:rFonts w:ascii="Arial" w:hAnsi="Arial" w:cs="Arial"/>
          <w:sz w:val="22"/>
          <w:szCs w:val="22"/>
          <w:lang w:val="en-US"/>
        </w:rPr>
        <w:t xml:space="preserve"> </w:t>
      </w:r>
      <w:r w:rsidRPr="00C858BC">
        <w:rPr>
          <w:rFonts w:ascii="Arial" w:hAnsi="Arial" w:cs="Arial"/>
          <w:sz w:val="22"/>
          <w:szCs w:val="22"/>
          <w:lang w:val="en-US"/>
        </w:rPr>
        <w:t>27:53-8.</w:t>
      </w:r>
      <w:bookmarkEnd w:id="1"/>
    </w:p>
    <w:p w14:paraId="093D5620" w14:textId="77777777" w:rsidR="00A25EBF" w:rsidRPr="00C858BC" w:rsidRDefault="00A25EBF" w:rsidP="00C858BC">
      <w:pPr>
        <w:widowControl w:val="0"/>
        <w:tabs>
          <w:tab w:val="left" w:pos="3179"/>
        </w:tabs>
        <w:autoSpaceDE w:val="0"/>
        <w:autoSpaceDN w:val="0"/>
        <w:adjustRightInd w:val="0"/>
        <w:spacing w:line="360" w:lineRule="auto"/>
        <w:rPr>
          <w:rFonts w:ascii="Arial" w:hAnsi="Arial" w:cs="Arial"/>
          <w:sz w:val="22"/>
          <w:szCs w:val="22"/>
          <w:lang w:val="en-US"/>
        </w:rPr>
      </w:pPr>
      <w:bookmarkStart w:id="2" w:name="_ENREF_48"/>
    </w:p>
    <w:p w14:paraId="111DADF8" w14:textId="7EE97679" w:rsidR="00A25EBF" w:rsidRPr="00C858BC" w:rsidRDefault="00A25EBF" w:rsidP="00C858BC">
      <w:pPr>
        <w:pStyle w:val="ListParagraph"/>
        <w:widowControl w:val="0"/>
        <w:numPr>
          <w:ilvl w:val="0"/>
          <w:numId w:val="7"/>
        </w:numPr>
        <w:tabs>
          <w:tab w:val="left" w:pos="3179"/>
        </w:tabs>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Morgan PJ, Cleave-Hogg D. Comparison between medical students’ experience, confidence and competence. Medical Education. 2002;</w:t>
      </w:r>
      <w:r w:rsidR="002C2584" w:rsidRPr="00C858BC">
        <w:rPr>
          <w:rFonts w:ascii="Arial" w:hAnsi="Arial" w:cs="Arial"/>
          <w:sz w:val="22"/>
          <w:szCs w:val="22"/>
          <w:lang w:val="en-US"/>
        </w:rPr>
        <w:t xml:space="preserve"> </w:t>
      </w:r>
      <w:r w:rsidRPr="00C858BC">
        <w:rPr>
          <w:rFonts w:ascii="Arial" w:hAnsi="Arial" w:cs="Arial"/>
          <w:sz w:val="22"/>
          <w:szCs w:val="22"/>
          <w:lang w:val="en-US"/>
        </w:rPr>
        <w:t>36:534-9.</w:t>
      </w:r>
      <w:bookmarkEnd w:id="2"/>
    </w:p>
    <w:p w14:paraId="0DBE52FA" w14:textId="4BF7BBD9" w:rsidR="00A25EBF" w:rsidRPr="00C858BC" w:rsidRDefault="00A25EBF" w:rsidP="00C858BC">
      <w:pPr>
        <w:pStyle w:val="FootnoteText"/>
        <w:spacing w:line="360" w:lineRule="auto"/>
        <w:rPr>
          <w:rFonts w:ascii="Arial" w:hAnsi="Arial" w:cs="Arial"/>
          <w:i/>
          <w:sz w:val="22"/>
          <w:szCs w:val="22"/>
          <w:lang w:val="en-US"/>
        </w:rPr>
      </w:pPr>
    </w:p>
    <w:p w14:paraId="2419C26A" w14:textId="4045F19F" w:rsidR="00A25EBF" w:rsidRPr="00C858BC" w:rsidRDefault="00A25EBF" w:rsidP="00C858BC">
      <w:pPr>
        <w:pStyle w:val="FootnoteText"/>
        <w:numPr>
          <w:ilvl w:val="0"/>
          <w:numId w:val="7"/>
        </w:numPr>
        <w:spacing w:line="360" w:lineRule="auto"/>
        <w:rPr>
          <w:rFonts w:ascii="Arial" w:hAnsi="Arial" w:cs="Arial"/>
          <w:sz w:val="22"/>
          <w:szCs w:val="22"/>
          <w:lang w:val="en-US"/>
        </w:rPr>
      </w:pPr>
      <w:r w:rsidRPr="00C858BC">
        <w:rPr>
          <w:rFonts w:ascii="Arial" w:hAnsi="Arial" w:cs="Arial"/>
          <w:sz w:val="22"/>
          <w:szCs w:val="22"/>
          <w:lang w:val="en-US"/>
        </w:rPr>
        <w:t>Sidhu</w:t>
      </w:r>
      <w:r w:rsidR="002C2584" w:rsidRPr="00C858BC">
        <w:rPr>
          <w:rFonts w:ascii="Arial" w:hAnsi="Arial" w:cs="Arial"/>
          <w:sz w:val="22"/>
          <w:szCs w:val="22"/>
          <w:lang w:val="en-US"/>
        </w:rPr>
        <w:t xml:space="preserve"> N</w:t>
      </w:r>
      <w:r w:rsidRPr="00C858BC">
        <w:rPr>
          <w:rFonts w:ascii="Arial" w:hAnsi="Arial" w:cs="Arial"/>
          <w:sz w:val="22"/>
          <w:szCs w:val="22"/>
          <w:lang w:val="en-US"/>
        </w:rPr>
        <w:t>. Undergraduate Medical Education in Anaesthesia (</w:t>
      </w:r>
      <w:proofErr w:type="spellStart"/>
      <w:r w:rsidRPr="00C858BC">
        <w:rPr>
          <w:rFonts w:ascii="Arial" w:hAnsi="Arial" w:cs="Arial"/>
          <w:sz w:val="22"/>
          <w:szCs w:val="22"/>
          <w:lang w:val="en-US"/>
        </w:rPr>
        <w:t>MClinEd</w:t>
      </w:r>
      <w:proofErr w:type="spellEnd"/>
      <w:r w:rsidRPr="00C858BC">
        <w:rPr>
          <w:rFonts w:ascii="Arial" w:hAnsi="Arial" w:cs="Arial"/>
          <w:sz w:val="22"/>
          <w:szCs w:val="22"/>
          <w:lang w:val="en-US"/>
        </w:rPr>
        <w:t xml:space="preserve"> thesis). Auckland: University of Auckland; 2013</w:t>
      </w:r>
    </w:p>
    <w:p w14:paraId="63D20224" w14:textId="77777777" w:rsidR="00A25EBF" w:rsidRPr="00C858BC" w:rsidRDefault="00A25EBF" w:rsidP="00C858BC">
      <w:pPr>
        <w:pStyle w:val="FootnoteText"/>
        <w:spacing w:line="360" w:lineRule="auto"/>
        <w:rPr>
          <w:rFonts w:ascii="Arial" w:hAnsi="Arial" w:cs="Arial"/>
          <w:sz w:val="22"/>
          <w:szCs w:val="22"/>
          <w:lang w:val="en-US"/>
        </w:rPr>
      </w:pPr>
    </w:p>
    <w:p w14:paraId="6440F5CB" w14:textId="19D86C52" w:rsidR="005E497E" w:rsidRPr="00C858BC" w:rsidRDefault="005E497E" w:rsidP="00C858BC">
      <w:pPr>
        <w:pStyle w:val="FootnoteText"/>
        <w:numPr>
          <w:ilvl w:val="0"/>
          <w:numId w:val="7"/>
        </w:numPr>
        <w:spacing w:line="360" w:lineRule="auto"/>
        <w:rPr>
          <w:rFonts w:ascii="Arial" w:hAnsi="Arial" w:cs="Arial"/>
          <w:sz w:val="22"/>
          <w:szCs w:val="22"/>
          <w:lang w:val="en-US"/>
        </w:rPr>
      </w:pPr>
      <w:r w:rsidRPr="00C858BC">
        <w:rPr>
          <w:rFonts w:ascii="Arial" w:hAnsi="Arial" w:cs="Arial"/>
          <w:sz w:val="22"/>
          <w:szCs w:val="22"/>
          <w:lang w:val="en-US"/>
        </w:rPr>
        <w:t xml:space="preserve">Clarke RC, Gardner AI. Anaesthesia trainees’ exposure to airway management in an Australian tertiary adult teaching hospital. </w:t>
      </w:r>
      <w:proofErr w:type="spellStart"/>
      <w:r w:rsidRPr="00C858BC">
        <w:rPr>
          <w:rFonts w:ascii="Arial" w:hAnsi="Arial" w:cs="Arial"/>
          <w:sz w:val="22"/>
          <w:szCs w:val="22"/>
          <w:lang w:val="en-US"/>
        </w:rPr>
        <w:t>Anaesth</w:t>
      </w:r>
      <w:proofErr w:type="spellEnd"/>
      <w:r w:rsidRPr="00C858BC">
        <w:rPr>
          <w:rFonts w:ascii="Arial" w:hAnsi="Arial" w:cs="Arial"/>
          <w:sz w:val="22"/>
          <w:szCs w:val="22"/>
          <w:lang w:val="en-US"/>
        </w:rPr>
        <w:t xml:space="preserve"> Intensive Care 2008; 36: 513-5</w:t>
      </w:r>
    </w:p>
    <w:p w14:paraId="76460E79" w14:textId="77777777" w:rsidR="005E497E" w:rsidRPr="00C858BC" w:rsidRDefault="005E497E" w:rsidP="00C858BC">
      <w:pPr>
        <w:pStyle w:val="FootnoteText"/>
        <w:spacing w:line="360" w:lineRule="auto"/>
        <w:rPr>
          <w:rFonts w:ascii="Arial" w:hAnsi="Arial" w:cs="Arial"/>
          <w:sz w:val="22"/>
          <w:szCs w:val="22"/>
          <w:lang w:val="en-US"/>
        </w:rPr>
      </w:pPr>
    </w:p>
    <w:p w14:paraId="78A62F51" w14:textId="53A3265C" w:rsidR="005E497E" w:rsidRPr="00C858BC" w:rsidRDefault="005E497E" w:rsidP="00C858BC">
      <w:pPr>
        <w:pStyle w:val="FootnoteText"/>
        <w:numPr>
          <w:ilvl w:val="0"/>
          <w:numId w:val="7"/>
        </w:numPr>
        <w:spacing w:line="360" w:lineRule="auto"/>
        <w:rPr>
          <w:rFonts w:ascii="Arial" w:hAnsi="Arial" w:cs="Arial"/>
          <w:sz w:val="22"/>
          <w:szCs w:val="22"/>
          <w:lang w:val="en-US"/>
        </w:rPr>
      </w:pPr>
      <w:r w:rsidRPr="00C858BC">
        <w:rPr>
          <w:rFonts w:ascii="Arial" w:hAnsi="Arial" w:cs="Arial"/>
          <w:sz w:val="22"/>
          <w:szCs w:val="22"/>
          <w:lang w:val="en-US"/>
        </w:rPr>
        <w:t xml:space="preserve">Smith N, </w:t>
      </w:r>
      <w:proofErr w:type="spellStart"/>
      <w:r w:rsidRPr="00C858BC">
        <w:rPr>
          <w:rFonts w:ascii="Arial" w:hAnsi="Arial" w:cs="Arial"/>
          <w:sz w:val="22"/>
          <w:szCs w:val="22"/>
          <w:lang w:val="en-US"/>
        </w:rPr>
        <w:t>Koutantos</w:t>
      </w:r>
      <w:proofErr w:type="spellEnd"/>
      <w:r w:rsidRPr="00C858BC">
        <w:rPr>
          <w:rFonts w:ascii="Arial" w:hAnsi="Arial" w:cs="Arial"/>
          <w:sz w:val="22"/>
          <w:szCs w:val="22"/>
          <w:lang w:val="en-US"/>
        </w:rPr>
        <w:t xml:space="preserve"> A. Airway experience of anaesthetic registrars. </w:t>
      </w:r>
      <w:proofErr w:type="spellStart"/>
      <w:r w:rsidRPr="00C858BC">
        <w:rPr>
          <w:rFonts w:ascii="Arial" w:hAnsi="Arial" w:cs="Arial"/>
          <w:sz w:val="22"/>
          <w:szCs w:val="22"/>
          <w:lang w:val="en-US"/>
        </w:rPr>
        <w:t>Anaesth</w:t>
      </w:r>
      <w:proofErr w:type="spellEnd"/>
      <w:r w:rsidRPr="00C858BC">
        <w:rPr>
          <w:rFonts w:ascii="Arial" w:hAnsi="Arial" w:cs="Arial"/>
          <w:sz w:val="22"/>
          <w:szCs w:val="22"/>
          <w:lang w:val="en-US"/>
        </w:rPr>
        <w:t xml:space="preserve"> Intensive Care 2008; 36: 516-9</w:t>
      </w:r>
    </w:p>
    <w:p w14:paraId="0E32A62F" w14:textId="77777777" w:rsidR="00483DE4" w:rsidRPr="00C858BC" w:rsidRDefault="00483DE4" w:rsidP="00C858BC">
      <w:pPr>
        <w:pStyle w:val="FootnoteText"/>
        <w:spacing w:line="360" w:lineRule="auto"/>
        <w:rPr>
          <w:rFonts w:ascii="Arial" w:hAnsi="Arial" w:cs="Arial"/>
          <w:sz w:val="22"/>
          <w:szCs w:val="22"/>
          <w:lang w:val="en-US"/>
        </w:rPr>
      </w:pPr>
    </w:p>
    <w:p w14:paraId="266A5B6F" w14:textId="212D2762" w:rsidR="00A25EBF" w:rsidRPr="00C858BC" w:rsidRDefault="00A25EBF" w:rsidP="00C858BC">
      <w:pPr>
        <w:pStyle w:val="ListParagraph"/>
        <w:widowControl w:val="0"/>
        <w:numPr>
          <w:ilvl w:val="0"/>
          <w:numId w:val="7"/>
        </w:numPr>
        <w:autoSpaceDE w:val="0"/>
        <w:autoSpaceDN w:val="0"/>
        <w:adjustRightInd w:val="0"/>
        <w:spacing w:line="360" w:lineRule="auto"/>
        <w:rPr>
          <w:rFonts w:ascii="Arial" w:hAnsi="Arial" w:cs="Arial"/>
          <w:sz w:val="22"/>
          <w:szCs w:val="22"/>
          <w:lang w:val="en-US"/>
        </w:rPr>
      </w:pPr>
      <w:r w:rsidRPr="00C858BC">
        <w:rPr>
          <w:rFonts w:ascii="Arial" w:hAnsi="Arial" w:cs="Arial"/>
          <w:sz w:val="22"/>
          <w:szCs w:val="22"/>
          <w:lang w:val="en-US"/>
        </w:rPr>
        <w:t xml:space="preserve">Steadman RH, Coates WC, Huang YM, </w:t>
      </w:r>
      <w:proofErr w:type="spellStart"/>
      <w:r w:rsidRPr="00C858BC">
        <w:rPr>
          <w:rFonts w:ascii="Arial" w:hAnsi="Arial" w:cs="Arial"/>
          <w:sz w:val="22"/>
          <w:szCs w:val="22"/>
          <w:lang w:val="en-US"/>
        </w:rPr>
        <w:t>Matevosian</w:t>
      </w:r>
      <w:proofErr w:type="spellEnd"/>
      <w:r w:rsidRPr="00C858BC">
        <w:rPr>
          <w:rFonts w:ascii="Arial" w:hAnsi="Arial" w:cs="Arial"/>
          <w:sz w:val="22"/>
          <w:szCs w:val="22"/>
          <w:lang w:val="en-US"/>
        </w:rPr>
        <w:t xml:space="preserve"> R, </w:t>
      </w:r>
      <w:proofErr w:type="spellStart"/>
      <w:r w:rsidRPr="00C858BC">
        <w:rPr>
          <w:rFonts w:ascii="Arial" w:hAnsi="Arial" w:cs="Arial"/>
          <w:sz w:val="22"/>
          <w:szCs w:val="22"/>
          <w:lang w:val="en-US"/>
        </w:rPr>
        <w:t>Larmon</w:t>
      </w:r>
      <w:proofErr w:type="spellEnd"/>
      <w:r w:rsidRPr="00C858BC">
        <w:rPr>
          <w:rFonts w:ascii="Arial" w:hAnsi="Arial" w:cs="Arial"/>
          <w:sz w:val="22"/>
          <w:szCs w:val="22"/>
          <w:lang w:val="en-US"/>
        </w:rPr>
        <w:t xml:space="preserve"> BR, McCullough L, et al. Simulation-based training is superior to problem-based learning for the acquisition of critical assessment and management skills. </w:t>
      </w:r>
      <w:proofErr w:type="spellStart"/>
      <w:r w:rsidRPr="00C858BC">
        <w:rPr>
          <w:rFonts w:ascii="Arial" w:hAnsi="Arial" w:cs="Arial"/>
          <w:sz w:val="22"/>
          <w:szCs w:val="22"/>
          <w:lang w:val="en-US"/>
        </w:rPr>
        <w:t>Crit</w:t>
      </w:r>
      <w:proofErr w:type="spellEnd"/>
      <w:r w:rsidRPr="00C858BC">
        <w:rPr>
          <w:rFonts w:ascii="Arial" w:hAnsi="Arial" w:cs="Arial"/>
          <w:sz w:val="22"/>
          <w:szCs w:val="22"/>
          <w:lang w:val="en-US"/>
        </w:rPr>
        <w:t xml:space="preserve"> Care Med. 2006;</w:t>
      </w:r>
      <w:r w:rsidR="002C2584" w:rsidRPr="00C858BC">
        <w:rPr>
          <w:rFonts w:ascii="Arial" w:hAnsi="Arial" w:cs="Arial"/>
          <w:sz w:val="22"/>
          <w:szCs w:val="22"/>
          <w:lang w:val="en-US"/>
        </w:rPr>
        <w:t xml:space="preserve"> </w:t>
      </w:r>
      <w:r w:rsidRPr="00C858BC">
        <w:rPr>
          <w:rFonts w:ascii="Arial" w:hAnsi="Arial" w:cs="Arial"/>
          <w:sz w:val="22"/>
          <w:szCs w:val="22"/>
          <w:lang w:val="en-US"/>
        </w:rPr>
        <w:t>34:151-7.</w:t>
      </w:r>
    </w:p>
    <w:p w14:paraId="59426E8A" w14:textId="77777777" w:rsidR="00A25EBF" w:rsidRPr="00C858BC" w:rsidRDefault="00A25EBF" w:rsidP="00C858BC">
      <w:pPr>
        <w:widowControl w:val="0"/>
        <w:autoSpaceDE w:val="0"/>
        <w:autoSpaceDN w:val="0"/>
        <w:adjustRightInd w:val="0"/>
        <w:spacing w:line="360" w:lineRule="auto"/>
        <w:rPr>
          <w:rFonts w:ascii="Arial" w:hAnsi="Arial" w:cs="Arial"/>
          <w:sz w:val="22"/>
          <w:szCs w:val="22"/>
          <w:lang w:val="en-US"/>
        </w:rPr>
      </w:pPr>
      <w:bookmarkStart w:id="3" w:name="_ENREF_78"/>
    </w:p>
    <w:p w14:paraId="64978D55" w14:textId="3F8B1C26" w:rsidR="00A25EBF" w:rsidRPr="00C858BC" w:rsidRDefault="00A25EBF" w:rsidP="00C858BC">
      <w:pPr>
        <w:pStyle w:val="ListParagraph"/>
        <w:widowControl w:val="0"/>
        <w:numPr>
          <w:ilvl w:val="0"/>
          <w:numId w:val="7"/>
        </w:numPr>
        <w:autoSpaceDE w:val="0"/>
        <w:autoSpaceDN w:val="0"/>
        <w:adjustRightInd w:val="0"/>
        <w:spacing w:line="360" w:lineRule="auto"/>
        <w:rPr>
          <w:rFonts w:ascii="Arial" w:hAnsi="Arial" w:cs="Arial"/>
          <w:sz w:val="22"/>
          <w:szCs w:val="22"/>
          <w:lang w:val="en-US"/>
        </w:rPr>
      </w:pPr>
      <w:proofErr w:type="spellStart"/>
      <w:r w:rsidRPr="00C858BC">
        <w:rPr>
          <w:rFonts w:ascii="Arial" w:hAnsi="Arial" w:cs="Arial"/>
          <w:sz w:val="22"/>
          <w:szCs w:val="22"/>
          <w:lang w:val="en-US"/>
        </w:rPr>
        <w:t>Hallikainen</w:t>
      </w:r>
      <w:proofErr w:type="spellEnd"/>
      <w:r w:rsidRPr="00C858BC">
        <w:rPr>
          <w:rFonts w:ascii="Arial" w:hAnsi="Arial" w:cs="Arial"/>
          <w:sz w:val="22"/>
          <w:szCs w:val="22"/>
          <w:lang w:val="en-US"/>
        </w:rPr>
        <w:t xml:space="preserve"> J, </w:t>
      </w:r>
      <w:proofErr w:type="spellStart"/>
      <w:r w:rsidRPr="00C858BC">
        <w:rPr>
          <w:rFonts w:ascii="Arial" w:hAnsi="Arial" w:cs="Arial"/>
          <w:sz w:val="22"/>
          <w:szCs w:val="22"/>
          <w:lang w:val="en-US"/>
        </w:rPr>
        <w:t>Väisänen</w:t>
      </w:r>
      <w:proofErr w:type="spellEnd"/>
      <w:r w:rsidRPr="00C858BC">
        <w:rPr>
          <w:rFonts w:ascii="Arial" w:hAnsi="Arial" w:cs="Arial"/>
          <w:sz w:val="22"/>
          <w:szCs w:val="22"/>
          <w:lang w:val="en-US"/>
        </w:rPr>
        <w:t xml:space="preserve"> O, </w:t>
      </w:r>
      <w:proofErr w:type="spellStart"/>
      <w:r w:rsidRPr="00C858BC">
        <w:rPr>
          <w:rFonts w:ascii="Arial" w:hAnsi="Arial" w:cs="Arial"/>
          <w:sz w:val="22"/>
          <w:szCs w:val="22"/>
          <w:lang w:val="en-US"/>
        </w:rPr>
        <w:t>Randell</w:t>
      </w:r>
      <w:proofErr w:type="spellEnd"/>
      <w:r w:rsidRPr="00C858BC">
        <w:rPr>
          <w:rFonts w:ascii="Arial" w:hAnsi="Arial" w:cs="Arial"/>
          <w:sz w:val="22"/>
          <w:szCs w:val="22"/>
          <w:lang w:val="en-US"/>
        </w:rPr>
        <w:t xml:space="preserve"> T, </w:t>
      </w:r>
      <w:proofErr w:type="spellStart"/>
      <w:r w:rsidRPr="00C858BC">
        <w:rPr>
          <w:rFonts w:ascii="Arial" w:hAnsi="Arial" w:cs="Arial"/>
          <w:sz w:val="22"/>
          <w:szCs w:val="22"/>
          <w:lang w:val="en-US"/>
        </w:rPr>
        <w:t>Tarkkila</w:t>
      </w:r>
      <w:proofErr w:type="spellEnd"/>
      <w:r w:rsidRPr="00C858BC">
        <w:rPr>
          <w:rFonts w:ascii="Arial" w:hAnsi="Arial" w:cs="Arial"/>
          <w:sz w:val="22"/>
          <w:szCs w:val="22"/>
          <w:lang w:val="en-US"/>
        </w:rPr>
        <w:t xml:space="preserve"> P, Rosenberg PH, </w:t>
      </w:r>
      <w:proofErr w:type="spellStart"/>
      <w:r w:rsidRPr="00C858BC">
        <w:rPr>
          <w:rFonts w:ascii="Arial" w:hAnsi="Arial" w:cs="Arial"/>
          <w:sz w:val="22"/>
          <w:szCs w:val="22"/>
          <w:lang w:val="en-US"/>
        </w:rPr>
        <w:t>Niemi-</w:t>
      </w:r>
      <w:r w:rsidRPr="00C858BC">
        <w:rPr>
          <w:rFonts w:ascii="Arial" w:hAnsi="Arial" w:cs="Arial"/>
          <w:sz w:val="22"/>
          <w:szCs w:val="22"/>
          <w:lang w:val="en-US"/>
        </w:rPr>
        <w:lastRenderedPageBreak/>
        <w:t>Murola</w:t>
      </w:r>
      <w:proofErr w:type="spellEnd"/>
      <w:r w:rsidRPr="00C858BC">
        <w:rPr>
          <w:rFonts w:ascii="Arial" w:hAnsi="Arial" w:cs="Arial"/>
          <w:sz w:val="22"/>
          <w:szCs w:val="22"/>
          <w:lang w:val="en-US"/>
        </w:rPr>
        <w:t xml:space="preserve"> L. Teaching anaesthesia induction to medical students: comparison between full-scale simulation and supervised teaching in the operating theatre. </w:t>
      </w:r>
      <w:proofErr w:type="spellStart"/>
      <w:r w:rsidRPr="00C858BC">
        <w:rPr>
          <w:rFonts w:ascii="Arial" w:hAnsi="Arial" w:cs="Arial"/>
          <w:sz w:val="22"/>
          <w:szCs w:val="22"/>
          <w:lang w:val="en-US"/>
        </w:rPr>
        <w:t>Eur</w:t>
      </w:r>
      <w:proofErr w:type="spellEnd"/>
      <w:r w:rsidRPr="00C858BC">
        <w:rPr>
          <w:rFonts w:ascii="Arial" w:hAnsi="Arial" w:cs="Arial"/>
          <w:sz w:val="22"/>
          <w:szCs w:val="22"/>
          <w:lang w:val="en-US"/>
        </w:rPr>
        <w:t xml:space="preserve"> J</w:t>
      </w:r>
      <w:r w:rsidR="002C2584" w:rsidRPr="00C858BC">
        <w:rPr>
          <w:rFonts w:ascii="Arial" w:hAnsi="Arial" w:cs="Arial"/>
          <w:sz w:val="22"/>
          <w:szCs w:val="22"/>
          <w:lang w:val="en-US"/>
        </w:rPr>
        <w:t xml:space="preserve"> </w:t>
      </w:r>
      <w:proofErr w:type="spellStart"/>
      <w:r w:rsidRPr="00C858BC">
        <w:rPr>
          <w:rFonts w:ascii="Arial" w:hAnsi="Arial" w:cs="Arial"/>
          <w:sz w:val="22"/>
          <w:szCs w:val="22"/>
          <w:lang w:val="en-US"/>
        </w:rPr>
        <w:t>Anaesth</w:t>
      </w:r>
      <w:proofErr w:type="spellEnd"/>
      <w:r w:rsidRPr="00C858BC">
        <w:rPr>
          <w:rFonts w:ascii="Arial" w:hAnsi="Arial" w:cs="Arial"/>
          <w:sz w:val="22"/>
          <w:szCs w:val="22"/>
          <w:lang w:val="en-US"/>
        </w:rPr>
        <w:t>. 2009;</w:t>
      </w:r>
      <w:r w:rsidR="002C2584" w:rsidRPr="00C858BC">
        <w:rPr>
          <w:rFonts w:ascii="Arial" w:hAnsi="Arial" w:cs="Arial"/>
          <w:sz w:val="22"/>
          <w:szCs w:val="22"/>
          <w:lang w:val="en-US"/>
        </w:rPr>
        <w:t xml:space="preserve"> </w:t>
      </w:r>
      <w:r w:rsidRPr="00C858BC">
        <w:rPr>
          <w:rFonts w:ascii="Arial" w:hAnsi="Arial" w:cs="Arial"/>
          <w:sz w:val="22"/>
          <w:szCs w:val="22"/>
          <w:lang w:val="en-US"/>
        </w:rPr>
        <w:t>26:101-4.</w:t>
      </w:r>
      <w:bookmarkEnd w:id="3"/>
    </w:p>
    <w:p w14:paraId="2515D09E" w14:textId="77777777" w:rsidR="00A25EBF" w:rsidRPr="00C858BC" w:rsidRDefault="00A25EBF" w:rsidP="00C858BC">
      <w:pPr>
        <w:widowControl w:val="0"/>
        <w:autoSpaceDE w:val="0"/>
        <w:autoSpaceDN w:val="0"/>
        <w:adjustRightInd w:val="0"/>
        <w:spacing w:line="360" w:lineRule="auto"/>
        <w:rPr>
          <w:rFonts w:ascii="Arial" w:hAnsi="Arial" w:cs="Arial"/>
          <w:sz w:val="22"/>
          <w:szCs w:val="22"/>
          <w:lang w:val="en-US"/>
        </w:rPr>
      </w:pPr>
    </w:p>
    <w:p w14:paraId="50F115F7" w14:textId="36D41098" w:rsidR="00A25EBF" w:rsidRPr="00C858BC" w:rsidRDefault="00A25EBF" w:rsidP="00C858BC">
      <w:pPr>
        <w:pStyle w:val="ListParagraph"/>
        <w:widowControl w:val="0"/>
        <w:numPr>
          <w:ilvl w:val="0"/>
          <w:numId w:val="7"/>
        </w:numPr>
        <w:autoSpaceDE w:val="0"/>
        <w:autoSpaceDN w:val="0"/>
        <w:adjustRightInd w:val="0"/>
        <w:spacing w:line="360" w:lineRule="auto"/>
        <w:rPr>
          <w:rFonts w:ascii="Arial" w:hAnsi="Arial" w:cs="Arial"/>
          <w:sz w:val="22"/>
          <w:szCs w:val="22"/>
          <w:lang w:val="en-US"/>
        </w:rPr>
      </w:pPr>
      <w:proofErr w:type="spellStart"/>
      <w:r w:rsidRPr="00C858BC">
        <w:rPr>
          <w:rFonts w:ascii="Arial" w:hAnsi="Arial" w:cs="Arial"/>
          <w:sz w:val="22"/>
          <w:szCs w:val="22"/>
          <w:lang w:val="en-US"/>
        </w:rPr>
        <w:t>Ruesseler</w:t>
      </w:r>
      <w:proofErr w:type="spellEnd"/>
      <w:r w:rsidRPr="00C858BC">
        <w:rPr>
          <w:rFonts w:ascii="Arial" w:hAnsi="Arial" w:cs="Arial"/>
          <w:sz w:val="22"/>
          <w:szCs w:val="22"/>
          <w:lang w:val="en-US"/>
        </w:rPr>
        <w:t xml:space="preserve"> M, </w:t>
      </w:r>
      <w:proofErr w:type="spellStart"/>
      <w:r w:rsidRPr="00C858BC">
        <w:rPr>
          <w:rFonts w:ascii="Arial" w:hAnsi="Arial" w:cs="Arial"/>
          <w:sz w:val="22"/>
          <w:szCs w:val="22"/>
          <w:lang w:val="en-US"/>
        </w:rPr>
        <w:t>Weinlich</w:t>
      </w:r>
      <w:proofErr w:type="spellEnd"/>
      <w:r w:rsidRPr="00C858BC">
        <w:rPr>
          <w:rFonts w:ascii="Arial" w:hAnsi="Arial" w:cs="Arial"/>
          <w:sz w:val="22"/>
          <w:szCs w:val="22"/>
          <w:lang w:val="en-US"/>
        </w:rPr>
        <w:t xml:space="preserve"> M, Müller MP, </w:t>
      </w:r>
      <w:proofErr w:type="spellStart"/>
      <w:r w:rsidRPr="00C858BC">
        <w:rPr>
          <w:rFonts w:ascii="Arial" w:hAnsi="Arial" w:cs="Arial"/>
          <w:sz w:val="22"/>
          <w:szCs w:val="22"/>
          <w:lang w:val="en-US"/>
        </w:rPr>
        <w:t>Byhahn</w:t>
      </w:r>
      <w:proofErr w:type="spellEnd"/>
      <w:r w:rsidRPr="00C858BC">
        <w:rPr>
          <w:rFonts w:ascii="Arial" w:hAnsi="Arial" w:cs="Arial"/>
          <w:sz w:val="22"/>
          <w:szCs w:val="22"/>
          <w:lang w:val="en-US"/>
        </w:rPr>
        <w:t xml:space="preserve"> C, </w:t>
      </w:r>
      <w:proofErr w:type="spellStart"/>
      <w:r w:rsidRPr="00C858BC">
        <w:rPr>
          <w:rFonts w:ascii="Arial" w:hAnsi="Arial" w:cs="Arial"/>
          <w:sz w:val="22"/>
          <w:szCs w:val="22"/>
          <w:lang w:val="en-US"/>
        </w:rPr>
        <w:t>Marzi</w:t>
      </w:r>
      <w:proofErr w:type="spellEnd"/>
      <w:r w:rsidRPr="00C858BC">
        <w:rPr>
          <w:rFonts w:ascii="Arial" w:hAnsi="Arial" w:cs="Arial"/>
          <w:sz w:val="22"/>
          <w:szCs w:val="22"/>
          <w:lang w:val="en-US"/>
        </w:rPr>
        <w:t xml:space="preserve"> I, </w:t>
      </w:r>
      <w:proofErr w:type="spellStart"/>
      <w:r w:rsidRPr="00C858BC">
        <w:rPr>
          <w:rFonts w:ascii="Arial" w:hAnsi="Arial" w:cs="Arial"/>
          <w:sz w:val="22"/>
          <w:szCs w:val="22"/>
          <w:lang w:val="en-US"/>
        </w:rPr>
        <w:t>Walcher</w:t>
      </w:r>
      <w:proofErr w:type="spellEnd"/>
      <w:r w:rsidRPr="00C858BC">
        <w:rPr>
          <w:rFonts w:ascii="Arial" w:hAnsi="Arial" w:cs="Arial"/>
          <w:sz w:val="22"/>
          <w:szCs w:val="22"/>
          <w:lang w:val="en-US"/>
        </w:rPr>
        <w:t xml:space="preserve"> F. Simulation training improves ability to manage medical emergencies. </w:t>
      </w:r>
      <w:proofErr w:type="spellStart"/>
      <w:r w:rsidRPr="00C858BC">
        <w:rPr>
          <w:rFonts w:ascii="Arial" w:hAnsi="Arial" w:cs="Arial"/>
          <w:sz w:val="22"/>
          <w:szCs w:val="22"/>
          <w:lang w:val="en-US"/>
        </w:rPr>
        <w:t>Emerg</w:t>
      </w:r>
      <w:proofErr w:type="spellEnd"/>
      <w:r w:rsidRPr="00C858BC">
        <w:rPr>
          <w:rFonts w:ascii="Arial" w:hAnsi="Arial" w:cs="Arial"/>
          <w:sz w:val="22"/>
          <w:szCs w:val="22"/>
          <w:lang w:val="en-US"/>
        </w:rPr>
        <w:t xml:space="preserve"> Med Journal. 2010;</w:t>
      </w:r>
      <w:r w:rsidR="002C2584" w:rsidRPr="00C858BC">
        <w:rPr>
          <w:rFonts w:ascii="Arial" w:hAnsi="Arial" w:cs="Arial"/>
          <w:sz w:val="22"/>
          <w:szCs w:val="22"/>
          <w:lang w:val="en-US"/>
        </w:rPr>
        <w:t xml:space="preserve"> </w:t>
      </w:r>
      <w:r w:rsidRPr="00C858BC">
        <w:rPr>
          <w:rFonts w:ascii="Arial" w:hAnsi="Arial" w:cs="Arial"/>
          <w:sz w:val="22"/>
          <w:szCs w:val="22"/>
          <w:lang w:val="en-US"/>
        </w:rPr>
        <w:t>27:734-8.</w:t>
      </w:r>
    </w:p>
    <w:p w14:paraId="4966C790" w14:textId="61C56030" w:rsidR="0071228F" w:rsidRPr="00C858BC" w:rsidRDefault="0071228F" w:rsidP="00C858BC">
      <w:pPr>
        <w:pStyle w:val="FootnoteText"/>
        <w:spacing w:line="360" w:lineRule="auto"/>
        <w:rPr>
          <w:rFonts w:ascii="Arial" w:hAnsi="Arial" w:cs="Arial"/>
          <w:sz w:val="22"/>
          <w:szCs w:val="22"/>
          <w:lang w:val="en-US"/>
        </w:rPr>
      </w:pPr>
    </w:p>
    <w:p w14:paraId="0702B5C9" w14:textId="3D416C44" w:rsidR="0071228F" w:rsidRPr="00C858BC" w:rsidRDefault="0071228F" w:rsidP="00C858BC">
      <w:pPr>
        <w:pStyle w:val="FootnoteText"/>
        <w:numPr>
          <w:ilvl w:val="0"/>
          <w:numId w:val="7"/>
        </w:numPr>
        <w:spacing w:line="360" w:lineRule="auto"/>
        <w:rPr>
          <w:rFonts w:ascii="Arial" w:hAnsi="Arial" w:cs="Arial"/>
          <w:sz w:val="22"/>
          <w:szCs w:val="22"/>
          <w:lang w:val="en-US"/>
        </w:rPr>
      </w:pPr>
      <w:r w:rsidRPr="00C858BC">
        <w:rPr>
          <w:rFonts w:ascii="Arial" w:hAnsi="Arial" w:cs="Arial"/>
          <w:sz w:val="22"/>
          <w:szCs w:val="22"/>
          <w:lang w:val="en-US"/>
        </w:rPr>
        <w:t xml:space="preserve">Watts RW, Marley J, Worley P. Undergraduate education in anaesthesia: the influence of role models on skills learnt and career choice. </w:t>
      </w:r>
      <w:proofErr w:type="spellStart"/>
      <w:r w:rsidRPr="00C858BC">
        <w:rPr>
          <w:rFonts w:ascii="Arial" w:hAnsi="Arial" w:cs="Arial"/>
          <w:sz w:val="22"/>
          <w:szCs w:val="22"/>
          <w:lang w:val="en-US"/>
        </w:rPr>
        <w:t>Anaesth</w:t>
      </w:r>
      <w:proofErr w:type="spellEnd"/>
      <w:r w:rsidRPr="00C858BC">
        <w:rPr>
          <w:rFonts w:ascii="Arial" w:hAnsi="Arial" w:cs="Arial"/>
          <w:sz w:val="22"/>
          <w:szCs w:val="22"/>
          <w:lang w:val="en-US"/>
        </w:rPr>
        <w:t xml:space="preserve"> &amp; Intensive Care. 1998;</w:t>
      </w:r>
      <w:r w:rsidR="002C2584" w:rsidRPr="00C858BC">
        <w:rPr>
          <w:rFonts w:ascii="Arial" w:hAnsi="Arial" w:cs="Arial"/>
          <w:sz w:val="22"/>
          <w:szCs w:val="22"/>
          <w:lang w:val="en-US"/>
        </w:rPr>
        <w:t xml:space="preserve"> </w:t>
      </w:r>
      <w:r w:rsidRPr="00C858BC">
        <w:rPr>
          <w:rFonts w:ascii="Arial" w:hAnsi="Arial" w:cs="Arial"/>
          <w:sz w:val="22"/>
          <w:szCs w:val="22"/>
          <w:lang w:val="en-US"/>
        </w:rPr>
        <w:t>26:201-3.</w:t>
      </w:r>
    </w:p>
    <w:p w14:paraId="6D4F32FD" w14:textId="77777777" w:rsidR="0071228F" w:rsidRPr="00C858BC" w:rsidRDefault="0071228F" w:rsidP="00C858BC">
      <w:pPr>
        <w:pStyle w:val="FootnoteText"/>
        <w:spacing w:line="360" w:lineRule="auto"/>
        <w:rPr>
          <w:rFonts w:ascii="Arial" w:hAnsi="Arial" w:cs="Arial"/>
          <w:sz w:val="22"/>
          <w:szCs w:val="22"/>
          <w:lang w:val="en-US"/>
        </w:rPr>
      </w:pPr>
    </w:p>
    <w:p w14:paraId="481E1EFB" w14:textId="33A5F274" w:rsidR="00483DE4" w:rsidRPr="00C858BC" w:rsidRDefault="00483DE4" w:rsidP="00C858BC">
      <w:pPr>
        <w:pStyle w:val="FootnoteText"/>
        <w:numPr>
          <w:ilvl w:val="0"/>
          <w:numId w:val="7"/>
        </w:numPr>
        <w:spacing w:line="360" w:lineRule="auto"/>
        <w:rPr>
          <w:rFonts w:ascii="Arial" w:hAnsi="Arial" w:cs="Arial"/>
          <w:sz w:val="22"/>
          <w:szCs w:val="22"/>
          <w:lang w:val="en-US"/>
        </w:rPr>
      </w:pPr>
      <w:r w:rsidRPr="00C858BC">
        <w:rPr>
          <w:rFonts w:ascii="Arial" w:hAnsi="Arial" w:cs="Arial"/>
          <w:sz w:val="22"/>
          <w:szCs w:val="22"/>
          <w:lang w:val="en-US"/>
        </w:rPr>
        <w:t>Buxton D. On the advisability of the inclusion of the study of anaesthetics as a compulsory subject in the medical curriculum. BMJ 1901; April 27: 1007-9</w:t>
      </w:r>
    </w:p>
    <w:p w14:paraId="55C0F3AB" w14:textId="161FB1B1" w:rsidR="005E497E" w:rsidRPr="00C858BC" w:rsidRDefault="005E497E" w:rsidP="00C858BC">
      <w:pPr>
        <w:spacing w:line="360" w:lineRule="auto"/>
        <w:rPr>
          <w:rFonts w:ascii="Arial" w:hAnsi="Arial" w:cs="Arial"/>
          <w:sz w:val="22"/>
          <w:szCs w:val="22"/>
        </w:rPr>
      </w:pPr>
      <w:r w:rsidRPr="00C858BC">
        <w:rPr>
          <w:rFonts w:ascii="Arial" w:hAnsi="Arial" w:cs="Arial"/>
          <w:sz w:val="22"/>
          <w:szCs w:val="22"/>
        </w:rPr>
        <w:br w:type="page"/>
      </w:r>
    </w:p>
    <w:p w14:paraId="45323614" w14:textId="11E3408D" w:rsidR="005E497E" w:rsidRPr="00C858BC" w:rsidRDefault="00B20F9B" w:rsidP="00C858BC">
      <w:pPr>
        <w:spacing w:line="360" w:lineRule="auto"/>
        <w:rPr>
          <w:rFonts w:ascii="Arial" w:hAnsi="Arial" w:cs="Arial"/>
          <w:sz w:val="22"/>
          <w:szCs w:val="22"/>
        </w:rPr>
      </w:pPr>
      <w:r w:rsidRPr="00C858BC">
        <w:rPr>
          <w:rFonts w:ascii="Arial" w:hAnsi="Arial" w:cs="Arial"/>
          <w:sz w:val="22"/>
          <w:szCs w:val="22"/>
        </w:rPr>
        <w:lastRenderedPageBreak/>
        <w:t xml:space="preserve">Content </w:t>
      </w:r>
      <w:r w:rsidR="00BE1404" w:rsidRPr="00C858BC">
        <w:rPr>
          <w:rFonts w:ascii="Arial" w:hAnsi="Arial" w:cs="Arial"/>
          <w:sz w:val="22"/>
          <w:szCs w:val="22"/>
        </w:rPr>
        <w:t>of</w:t>
      </w:r>
      <w:r w:rsidRPr="00C858BC">
        <w:rPr>
          <w:rFonts w:ascii="Arial" w:hAnsi="Arial" w:cs="Arial"/>
          <w:sz w:val="22"/>
          <w:szCs w:val="22"/>
        </w:rPr>
        <w:t xml:space="preserve"> an ideal anaesthesia student curriculum</w:t>
      </w:r>
      <w:r w:rsidR="00BE1404" w:rsidRPr="00C858BC">
        <w:rPr>
          <w:rFonts w:ascii="Arial" w:hAnsi="Arial" w:cs="Arial"/>
          <w:sz w:val="22"/>
          <w:szCs w:val="22"/>
        </w:rPr>
        <w:t xml:space="preserve"> as per reference </w:t>
      </w:r>
      <w:r w:rsidR="00564BCF" w:rsidRPr="00C858BC">
        <w:rPr>
          <w:rFonts w:ascii="Arial" w:hAnsi="Arial" w:cs="Arial"/>
          <w:sz w:val="22"/>
          <w:szCs w:val="22"/>
        </w:rPr>
        <w:t>6</w:t>
      </w:r>
    </w:p>
    <w:p w14:paraId="532C596C" w14:textId="77777777" w:rsidR="00B20F9B" w:rsidRPr="00C858BC" w:rsidRDefault="00B20F9B" w:rsidP="00C858BC">
      <w:pPr>
        <w:spacing w:line="360" w:lineRule="auto"/>
        <w:rPr>
          <w:rFonts w:ascii="Arial" w:hAnsi="Arial" w:cs="Arial"/>
          <w:sz w:val="22"/>
          <w:szCs w:val="22"/>
        </w:rPr>
      </w:pPr>
    </w:p>
    <w:tbl>
      <w:tblPr>
        <w:tblStyle w:val="TableGrid"/>
        <w:tblW w:w="0" w:type="auto"/>
        <w:tblLook w:val="04A0" w:firstRow="1" w:lastRow="0" w:firstColumn="1" w:lastColumn="0" w:noHBand="0" w:noVBand="1"/>
      </w:tblPr>
      <w:tblGrid>
        <w:gridCol w:w="3510"/>
        <w:gridCol w:w="4326"/>
      </w:tblGrid>
      <w:tr w:rsidR="00251D89" w:rsidRPr="00C858BC" w14:paraId="5FEF9744" w14:textId="77777777" w:rsidTr="00BE1404">
        <w:trPr>
          <w:trHeight w:val="707"/>
        </w:trPr>
        <w:tc>
          <w:tcPr>
            <w:tcW w:w="3510" w:type="dxa"/>
          </w:tcPr>
          <w:p w14:paraId="317C1377" w14:textId="414DE0F7"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Perioperative medicine</w:t>
            </w:r>
          </w:p>
        </w:tc>
        <w:tc>
          <w:tcPr>
            <w:tcW w:w="4326" w:type="dxa"/>
          </w:tcPr>
          <w:p w14:paraId="00038990" w14:textId="5B5CD160"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Preoperative assessment and preparation</w:t>
            </w:r>
          </w:p>
        </w:tc>
      </w:tr>
      <w:tr w:rsidR="00251D89" w:rsidRPr="00C858BC" w14:paraId="04488EAE" w14:textId="77777777" w:rsidTr="00BE1404">
        <w:trPr>
          <w:trHeight w:val="445"/>
        </w:trPr>
        <w:tc>
          <w:tcPr>
            <w:tcW w:w="3510" w:type="dxa"/>
          </w:tcPr>
          <w:p w14:paraId="058AF5EB" w14:textId="77777777" w:rsidR="00251D89" w:rsidRPr="00C858BC" w:rsidRDefault="00251D89" w:rsidP="00C858BC">
            <w:pPr>
              <w:spacing w:line="360" w:lineRule="auto"/>
              <w:rPr>
                <w:rFonts w:ascii="Arial" w:hAnsi="Arial" w:cs="Arial"/>
                <w:sz w:val="22"/>
                <w:szCs w:val="22"/>
              </w:rPr>
            </w:pPr>
          </w:p>
        </w:tc>
        <w:tc>
          <w:tcPr>
            <w:tcW w:w="4326" w:type="dxa"/>
          </w:tcPr>
          <w:p w14:paraId="3F08EAE0" w14:textId="1D83C5E6" w:rsidR="00251D89" w:rsidRPr="00C858BC" w:rsidRDefault="00BE1404" w:rsidP="00C858BC">
            <w:pPr>
              <w:spacing w:line="360" w:lineRule="auto"/>
              <w:rPr>
                <w:rFonts w:ascii="Arial" w:hAnsi="Arial" w:cs="Arial"/>
                <w:sz w:val="22"/>
                <w:szCs w:val="22"/>
              </w:rPr>
            </w:pPr>
            <w:r w:rsidRPr="00C858BC">
              <w:rPr>
                <w:rFonts w:ascii="Arial" w:hAnsi="Arial" w:cs="Arial"/>
                <w:sz w:val="22"/>
                <w:szCs w:val="22"/>
              </w:rPr>
              <w:t>Assessment</w:t>
            </w:r>
            <w:r w:rsidR="00251D89" w:rsidRPr="00C858BC">
              <w:rPr>
                <w:rFonts w:ascii="Arial" w:hAnsi="Arial" w:cs="Arial"/>
                <w:sz w:val="22"/>
                <w:szCs w:val="22"/>
              </w:rPr>
              <w:t xml:space="preserve"> of comorbid conditions </w:t>
            </w:r>
          </w:p>
        </w:tc>
      </w:tr>
      <w:tr w:rsidR="00251D89" w:rsidRPr="00C858BC" w14:paraId="47075E2C" w14:textId="77777777" w:rsidTr="00BE1404">
        <w:trPr>
          <w:trHeight w:val="445"/>
        </w:trPr>
        <w:tc>
          <w:tcPr>
            <w:tcW w:w="3510" w:type="dxa"/>
          </w:tcPr>
          <w:p w14:paraId="6E964C33" w14:textId="77777777" w:rsidR="00251D89" w:rsidRPr="00C858BC" w:rsidRDefault="00251D89" w:rsidP="00C858BC">
            <w:pPr>
              <w:spacing w:line="360" w:lineRule="auto"/>
              <w:rPr>
                <w:rFonts w:ascii="Arial" w:hAnsi="Arial" w:cs="Arial"/>
                <w:sz w:val="22"/>
                <w:szCs w:val="22"/>
              </w:rPr>
            </w:pPr>
          </w:p>
        </w:tc>
        <w:tc>
          <w:tcPr>
            <w:tcW w:w="4326" w:type="dxa"/>
          </w:tcPr>
          <w:p w14:paraId="16F63A10" w14:textId="04E25969"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Exercise tolerance</w:t>
            </w:r>
          </w:p>
        </w:tc>
      </w:tr>
      <w:tr w:rsidR="00251D89" w:rsidRPr="00C858BC" w14:paraId="70CCAE7A" w14:textId="77777777" w:rsidTr="00BE1404">
        <w:trPr>
          <w:trHeight w:val="466"/>
        </w:trPr>
        <w:tc>
          <w:tcPr>
            <w:tcW w:w="3510" w:type="dxa"/>
          </w:tcPr>
          <w:p w14:paraId="00B48924" w14:textId="77777777" w:rsidR="00251D89" w:rsidRPr="00C858BC" w:rsidRDefault="00251D89" w:rsidP="00C858BC">
            <w:pPr>
              <w:spacing w:line="360" w:lineRule="auto"/>
              <w:rPr>
                <w:rFonts w:ascii="Arial" w:hAnsi="Arial" w:cs="Arial"/>
                <w:sz w:val="22"/>
                <w:szCs w:val="22"/>
              </w:rPr>
            </w:pPr>
          </w:p>
        </w:tc>
        <w:tc>
          <w:tcPr>
            <w:tcW w:w="4326" w:type="dxa"/>
          </w:tcPr>
          <w:p w14:paraId="28FDE4AC" w14:textId="52EC7875"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Management of medications preoperatively</w:t>
            </w:r>
          </w:p>
        </w:tc>
      </w:tr>
      <w:tr w:rsidR="00251D89" w:rsidRPr="00C858BC" w14:paraId="7EF7FBA1" w14:textId="77777777" w:rsidTr="00BE1404">
        <w:trPr>
          <w:trHeight w:val="445"/>
        </w:trPr>
        <w:tc>
          <w:tcPr>
            <w:tcW w:w="3510" w:type="dxa"/>
          </w:tcPr>
          <w:p w14:paraId="774E7EC8" w14:textId="69D23459"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Critical care</w:t>
            </w:r>
          </w:p>
        </w:tc>
        <w:tc>
          <w:tcPr>
            <w:tcW w:w="4326" w:type="dxa"/>
          </w:tcPr>
          <w:p w14:paraId="1962BC04" w14:textId="472C18BC" w:rsidR="00251D89" w:rsidRPr="00C858BC" w:rsidRDefault="00BE1404" w:rsidP="00C858BC">
            <w:pPr>
              <w:spacing w:line="360" w:lineRule="auto"/>
              <w:rPr>
                <w:rFonts w:ascii="Arial" w:hAnsi="Arial" w:cs="Arial"/>
                <w:sz w:val="22"/>
                <w:szCs w:val="22"/>
              </w:rPr>
            </w:pPr>
            <w:r w:rsidRPr="00C858BC">
              <w:rPr>
                <w:rFonts w:ascii="Arial" w:hAnsi="Arial" w:cs="Arial"/>
                <w:sz w:val="22"/>
                <w:szCs w:val="22"/>
              </w:rPr>
              <w:t>Basic and advanced life support</w:t>
            </w:r>
          </w:p>
        </w:tc>
      </w:tr>
      <w:tr w:rsidR="00251D89" w:rsidRPr="00C858BC" w14:paraId="4B6E92A8" w14:textId="77777777" w:rsidTr="00BE1404">
        <w:trPr>
          <w:trHeight w:val="466"/>
        </w:trPr>
        <w:tc>
          <w:tcPr>
            <w:tcW w:w="3510" w:type="dxa"/>
          </w:tcPr>
          <w:p w14:paraId="0A7D5816" w14:textId="77777777" w:rsidR="00251D89" w:rsidRPr="00C858BC" w:rsidRDefault="00251D89" w:rsidP="00C858BC">
            <w:pPr>
              <w:spacing w:line="360" w:lineRule="auto"/>
              <w:rPr>
                <w:rFonts w:ascii="Arial" w:hAnsi="Arial" w:cs="Arial"/>
                <w:sz w:val="22"/>
                <w:szCs w:val="22"/>
              </w:rPr>
            </w:pPr>
          </w:p>
        </w:tc>
        <w:tc>
          <w:tcPr>
            <w:tcW w:w="4326" w:type="dxa"/>
          </w:tcPr>
          <w:p w14:paraId="05A8FC91" w14:textId="3BF1986C"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Recognition and management of the deteriorating patient</w:t>
            </w:r>
          </w:p>
        </w:tc>
      </w:tr>
      <w:tr w:rsidR="00251D89" w:rsidRPr="00C858BC" w14:paraId="65429D56" w14:textId="77777777" w:rsidTr="00BE1404">
        <w:trPr>
          <w:trHeight w:val="445"/>
        </w:trPr>
        <w:tc>
          <w:tcPr>
            <w:tcW w:w="3510" w:type="dxa"/>
          </w:tcPr>
          <w:p w14:paraId="6BFD1EBB" w14:textId="77777777" w:rsidR="00251D89" w:rsidRPr="00C858BC" w:rsidRDefault="00251D89" w:rsidP="00C858BC">
            <w:pPr>
              <w:spacing w:line="360" w:lineRule="auto"/>
              <w:rPr>
                <w:rFonts w:ascii="Arial" w:hAnsi="Arial" w:cs="Arial"/>
                <w:sz w:val="22"/>
                <w:szCs w:val="22"/>
              </w:rPr>
            </w:pPr>
          </w:p>
        </w:tc>
        <w:tc>
          <w:tcPr>
            <w:tcW w:w="4326" w:type="dxa"/>
          </w:tcPr>
          <w:p w14:paraId="6890D4C2" w14:textId="0634E107"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Care of the unconscious patient</w:t>
            </w:r>
          </w:p>
        </w:tc>
      </w:tr>
      <w:tr w:rsidR="00251D89" w:rsidRPr="00C858BC" w14:paraId="7B219A60" w14:textId="77777777" w:rsidTr="00BE1404">
        <w:trPr>
          <w:trHeight w:val="466"/>
        </w:trPr>
        <w:tc>
          <w:tcPr>
            <w:tcW w:w="3510" w:type="dxa"/>
          </w:tcPr>
          <w:p w14:paraId="479ADAE9" w14:textId="77777777" w:rsidR="00251D89" w:rsidRPr="00C858BC" w:rsidRDefault="00251D89" w:rsidP="00C858BC">
            <w:pPr>
              <w:spacing w:line="360" w:lineRule="auto"/>
              <w:rPr>
                <w:rFonts w:ascii="Arial" w:hAnsi="Arial" w:cs="Arial"/>
                <w:sz w:val="22"/>
                <w:szCs w:val="22"/>
              </w:rPr>
            </w:pPr>
          </w:p>
        </w:tc>
        <w:tc>
          <w:tcPr>
            <w:tcW w:w="4326" w:type="dxa"/>
          </w:tcPr>
          <w:p w14:paraId="1ACD015A" w14:textId="08B65E70"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Management of shock, hypovolaemia, hypoxia</w:t>
            </w:r>
          </w:p>
        </w:tc>
      </w:tr>
      <w:tr w:rsidR="00251D89" w:rsidRPr="00C858BC" w14:paraId="611F4FE3" w14:textId="77777777" w:rsidTr="00BE1404">
        <w:trPr>
          <w:trHeight w:val="466"/>
        </w:trPr>
        <w:tc>
          <w:tcPr>
            <w:tcW w:w="3510" w:type="dxa"/>
          </w:tcPr>
          <w:p w14:paraId="79BF8193" w14:textId="2004683E"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Applied basic sciences</w:t>
            </w:r>
          </w:p>
        </w:tc>
        <w:tc>
          <w:tcPr>
            <w:tcW w:w="4326" w:type="dxa"/>
          </w:tcPr>
          <w:p w14:paraId="42DADB63" w14:textId="34FFCE60"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Interpretation of standard blood test results</w:t>
            </w:r>
          </w:p>
        </w:tc>
      </w:tr>
      <w:tr w:rsidR="00251D89" w:rsidRPr="00C858BC" w14:paraId="327FF863" w14:textId="77777777" w:rsidTr="00BE1404">
        <w:trPr>
          <w:trHeight w:val="466"/>
        </w:trPr>
        <w:tc>
          <w:tcPr>
            <w:tcW w:w="3510" w:type="dxa"/>
          </w:tcPr>
          <w:p w14:paraId="009BD3DC" w14:textId="77777777" w:rsidR="00251D89" w:rsidRPr="00C858BC" w:rsidRDefault="00251D89" w:rsidP="00C858BC">
            <w:pPr>
              <w:spacing w:line="360" w:lineRule="auto"/>
              <w:rPr>
                <w:rFonts w:ascii="Arial" w:hAnsi="Arial" w:cs="Arial"/>
                <w:sz w:val="22"/>
                <w:szCs w:val="22"/>
              </w:rPr>
            </w:pPr>
          </w:p>
        </w:tc>
        <w:tc>
          <w:tcPr>
            <w:tcW w:w="4326" w:type="dxa"/>
          </w:tcPr>
          <w:p w14:paraId="751B4701" w14:textId="71CA29BA"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Analgesic pharmacology</w:t>
            </w:r>
          </w:p>
        </w:tc>
      </w:tr>
      <w:tr w:rsidR="00251D89" w:rsidRPr="00C858BC" w14:paraId="75362F42" w14:textId="77777777" w:rsidTr="00BE1404">
        <w:trPr>
          <w:trHeight w:val="466"/>
        </w:trPr>
        <w:tc>
          <w:tcPr>
            <w:tcW w:w="3510" w:type="dxa"/>
          </w:tcPr>
          <w:p w14:paraId="1167A231" w14:textId="44FEF327" w:rsidR="00251D89" w:rsidRPr="00C858BC" w:rsidRDefault="00251D89" w:rsidP="00C858BC">
            <w:pPr>
              <w:spacing w:line="360" w:lineRule="auto"/>
              <w:rPr>
                <w:rFonts w:ascii="Arial" w:hAnsi="Arial" w:cs="Arial"/>
                <w:sz w:val="22"/>
                <w:szCs w:val="22"/>
              </w:rPr>
            </w:pPr>
          </w:p>
        </w:tc>
        <w:tc>
          <w:tcPr>
            <w:tcW w:w="4326" w:type="dxa"/>
          </w:tcPr>
          <w:p w14:paraId="4FC5E02E" w14:textId="03C30A52"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ECG interpretation</w:t>
            </w:r>
          </w:p>
        </w:tc>
      </w:tr>
      <w:tr w:rsidR="00251D89" w:rsidRPr="00C858BC" w14:paraId="30657132" w14:textId="77777777" w:rsidTr="00BE1404">
        <w:trPr>
          <w:trHeight w:val="466"/>
        </w:trPr>
        <w:tc>
          <w:tcPr>
            <w:tcW w:w="3510" w:type="dxa"/>
          </w:tcPr>
          <w:p w14:paraId="7268B91D" w14:textId="34B30494"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Patient monitoring</w:t>
            </w:r>
          </w:p>
        </w:tc>
        <w:tc>
          <w:tcPr>
            <w:tcW w:w="4326" w:type="dxa"/>
          </w:tcPr>
          <w:p w14:paraId="369294DB" w14:textId="52C36B1F"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Oxygen administration and monitoring</w:t>
            </w:r>
          </w:p>
        </w:tc>
      </w:tr>
      <w:tr w:rsidR="00251D89" w:rsidRPr="00C858BC" w14:paraId="6F699D75" w14:textId="77777777" w:rsidTr="00BE1404">
        <w:trPr>
          <w:trHeight w:val="466"/>
        </w:trPr>
        <w:tc>
          <w:tcPr>
            <w:tcW w:w="3510" w:type="dxa"/>
          </w:tcPr>
          <w:p w14:paraId="3EB46AA0" w14:textId="6F4E800F"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Airway management</w:t>
            </w:r>
          </w:p>
        </w:tc>
        <w:tc>
          <w:tcPr>
            <w:tcW w:w="4326" w:type="dxa"/>
          </w:tcPr>
          <w:p w14:paraId="2A6B3F56" w14:textId="11D910C5"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Triple manoeuvre</w:t>
            </w:r>
          </w:p>
        </w:tc>
      </w:tr>
      <w:tr w:rsidR="00251D89" w:rsidRPr="00C858BC" w14:paraId="0FA5CAAF" w14:textId="77777777" w:rsidTr="00BE1404">
        <w:trPr>
          <w:trHeight w:val="466"/>
        </w:trPr>
        <w:tc>
          <w:tcPr>
            <w:tcW w:w="3510" w:type="dxa"/>
          </w:tcPr>
          <w:p w14:paraId="40BDB89E" w14:textId="77777777" w:rsidR="00251D89" w:rsidRPr="00C858BC" w:rsidRDefault="00251D89" w:rsidP="00C858BC">
            <w:pPr>
              <w:spacing w:line="360" w:lineRule="auto"/>
              <w:rPr>
                <w:rFonts w:ascii="Arial" w:hAnsi="Arial" w:cs="Arial"/>
                <w:sz w:val="22"/>
                <w:szCs w:val="22"/>
              </w:rPr>
            </w:pPr>
          </w:p>
        </w:tc>
        <w:tc>
          <w:tcPr>
            <w:tcW w:w="4326" w:type="dxa"/>
          </w:tcPr>
          <w:p w14:paraId="496054E6" w14:textId="5BFC1779"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 xml:space="preserve">Bag mask ventilation </w:t>
            </w:r>
          </w:p>
        </w:tc>
      </w:tr>
      <w:tr w:rsidR="00251D89" w:rsidRPr="00C858BC" w14:paraId="748E73F2" w14:textId="77777777" w:rsidTr="00BE1404">
        <w:trPr>
          <w:trHeight w:val="466"/>
        </w:trPr>
        <w:tc>
          <w:tcPr>
            <w:tcW w:w="3510" w:type="dxa"/>
          </w:tcPr>
          <w:p w14:paraId="651981FC" w14:textId="77777777" w:rsidR="00251D89" w:rsidRPr="00C858BC" w:rsidRDefault="00251D89" w:rsidP="00C858BC">
            <w:pPr>
              <w:spacing w:line="360" w:lineRule="auto"/>
              <w:rPr>
                <w:rFonts w:ascii="Arial" w:hAnsi="Arial" w:cs="Arial"/>
                <w:sz w:val="22"/>
                <w:szCs w:val="22"/>
              </w:rPr>
            </w:pPr>
          </w:p>
        </w:tc>
        <w:tc>
          <w:tcPr>
            <w:tcW w:w="4326" w:type="dxa"/>
          </w:tcPr>
          <w:p w14:paraId="1E9C7DAF" w14:textId="1B7562EF"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Guedel insertion</w:t>
            </w:r>
          </w:p>
        </w:tc>
      </w:tr>
      <w:tr w:rsidR="00251D89" w:rsidRPr="00C858BC" w14:paraId="70D7C2FC" w14:textId="77777777" w:rsidTr="00BE1404">
        <w:trPr>
          <w:trHeight w:val="466"/>
        </w:trPr>
        <w:tc>
          <w:tcPr>
            <w:tcW w:w="3510" w:type="dxa"/>
          </w:tcPr>
          <w:p w14:paraId="7CD9F2A0" w14:textId="77777777" w:rsidR="00251D89" w:rsidRPr="00C858BC" w:rsidRDefault="00251D89" w:rsidP="00C858BC">
            <w:pPr>
              <w:spacing w:line="360" w:lineRule="auto"/>
              <w:rPr>
                <w:rFonts w:ascii="Arial" w:hAnsi="Arial" w:cs="Arial"/>
                <w:sz w:val="22"/>
                <w:szCs w:val="22"/>
              </w:rPr>
            </w:pPr>
          </w:p>
        </w:tc>
        <w:tc>
          <w:tcPr>
            <w:tcW w:w="4326" w:type="dxa"/>
          </w:tcPr>
          <w:p w14:paraId="503DE06E" w14:textId="71F9AE30"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LMA insertion</w:t>
            </w:r>
          </w:p>
        </w:tc>
      </w:tr>
      <w:tr w:rsidR="00251D89" w:rsidRPr="00C858BC" w14:paraId="29CE6FBB" w14:textId="77777777" w:rsidTr="00BE1404">
        <w:trPr>
          <w:trHeight w:val="466"/>
        </w:trPr>
        <w:tc>
          <w:tcPr>
            <w:tcW w:w="3510" w:type="dxa"/>
          </w:tcPr>
          <w:p w14:paraId="48DFD408" w14:textId="09960E1A"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Pain management</w:t>
            </w:r>
          </w:p>
        </w:tc>
        <w:tc>
          <w:tcPr>
            <w:tcW w:w="4326" w:type="dxa"/>
          </w:tcPr>
          <w:p w14:paraId="4DD61AC9" w14:textId="6B8B7BE3"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Acute pain</w:t>
            </w:r>
          </w:p>
        </w:tc>
      </w:tr>
      <w:tr w:rsidR="00251D89" w:rsidRPr="00C858BC" w14:paraId="24658F3B" w14:textId="77777777" w:rsidTr="00BE1404">
        <w:trPr>
          <w:trHeight w:val="466"/>
        </w:trPr>
        <w:tc>
          <w:tcPr>
            <w:tcW w:w="3510" w:type="dxa"/>
          </w:tcPr>
          <w:p w14:paraId="6FA1232F" w14:textId="77777777" w:rsidR="00251D89" w:rsidRPr="00C858BC" w:rsidRDefault="00251D89" w:rsidP="00C858BC">
            <w:pPr>
              <w:spacing w:line="360" w:lineRule="auto"/>
              <w:rPr>
                <w:rFonts w:ascii="Arial" w:hAnsi="Arial" w:cs="Arial"/>
                <w:sz w:val="22"/>
                <w:szCs w:val="22"/>
              </w:rPr>
            </w:pPr>
          </w:p>
        </w:tc>
        <w:tc>
          <w:tcPr>
            <w:tcW w:w="4326" w:type="dxa"/>
          </w:tcPr>
          <w:p w14:paraId="13CFC281" w14:textId="611CB67A"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Multimodal analgesia</w:t>
            </w:r>
          </w:p>
        </w:tc>
      </w:tr>
      <w:tr w:rsidR="00251D89" w:rsidRPr="00C858BC" w14:paraId="6DE47774" w14:textId="77777777" w:rsidTr="00BE1404">
        <w:trPr>
          <w:trHeight w:val="466"/>
        </w:trPr>
        <w:tc>
          <w:tcPr>
            <w:tcW w:w="3510" w:type="dxa"/>
          </w:tcPr>
          <w:p w14:paraId="12F7A22E" w14:textId="77777777" w:rsidR="00251D89" w:rsidRPr="00C858BC" w:rsidRDefault="00251D89" w:rsidP="00C858BC">
            <w:pPr>
              <w:spacing w:line="360" w:lineRule="auto"/>
              <w:rPr>
                <w:rFonts w:ascii="Arial" w:hAnsi="Arial" w:cs="Arial"/>
                <w:sz w:val="22"/>
                <w:szCs w:val="22"/>
              </w:rPr>
            </w:pPr>
          </w:p>
        </w:tc>
        <w:tc>
          <w:tcPr>
            <w:tcW w:w="4326" w:type="dxa"/>
          </w:tcPr>
          <w:p w14:paraId="41156C31" w14:textId="056ECEF3"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Postoperative pain</w:t>
            </w:r>
          </w:p>
        </w:tc>
      </w:tr>
      <w:tr w:rsidR="00251D89" w:rsidRPr="00C858BC" w14:paraId="2F876A50" w14:textId="77777777" w:rsidTr="00BE1404">
        <w:trPr>
          <w:trHeight w:val="466"/>
        </w:trPr>
        <w:tc>
          <w:tcPr>
            <w:tcW w:w="3510" w:type="dxa"/>
          </w:tcPr>
          <w:p w14:paraId="70C78D4E" w14:textId="5CA7A448"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Intravenous fluid management</w:t>
            </w:r>
          </w:p>
        </w:tc>
        <w:tc>
          <w:tcPr>
            <w:tcW w:w="4326" w:type="dxa"/>
          </w:tcPr>
          <w:p w14:paraId="3284E664" w14:textId="02E39AFA"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Principles of fluid therapy</w:t>
            </w:r>
          </w:p>
        </w:tc>
      </w:tr>
      <w:tr w:rsidR="00251D89" w:rsidRPr="00C858BC" w14:paraId="2BF67925" w14:textId="77777777" w:rsidTr="00BE1404">
        <w:trPr>
          <w:trHeight w:val="466"/>
        </w:trPr>
        <w:tc>
          <w:tcPr>
            <w:tcW w:w="3510" w:type="dxa"/>
          </w:tcPr>
          <w:p w14:paraId="79064CAF" w14:textId="77777777" w:rsidR="00251D89" w:rsidRPr="00C858BC" w:rsidRDefault="00251D89" w:rsidP="00C858BC">
            <w:pPr>
              <w:spacing w:line="360" w:lineRule="auto"/>
              <w:rPr>
                <w:rFonts w:ascii="Arial" w:hAnsi="Arial" w:cs="Arial"/>
                <w:sz w:val="22"/>
                <w:szCs w:val="22"/>
              </w:rPr>
            </w:pPr>
          </w:p>
        </w:tc>
        <w:tc>
          <w:tcPr>
            <w:tcW w:w="4326" w:type="dxa"/>
          </w:tcPr>
          <w:p w14:paraId="01B8DCAD" w14:textId="130DE7DB"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Assessing fluid balance</w:t>
            </w:r>
          </w:p>
        </w:tc>
      </w:tr>
      <w:tr w:rsidR="00251D89" w:rsidRPr="00C858BC" w14:paraId="132A159D" w14:textId="77777777" w:rsidTr="00BE1404">
        <w:trPr>
          <w:trHeight w:val="466"/>
        </w:trPr>
        <w:tc>
          <w:tcPr>
            <w:tcW w:w="3510" w:type="dxa"/>
          </w:tcPr>
          <w:p w14:paraId="29923EF0" w14:textId="77777777" w:rsidR="00251D89" w:rsidRPr="00C858BC" w:rsidRDefault="00251D89" w:rsidP="00C858BC">
            <w:pPr>
              <w:spacing w:line="360" w:lineRule="auto"/>
              <w:rPr>
                <w:rFonts w:ascii="Arial" w:hAnsi="Arial" w:cs="Arial"/>
                <w:sz w:val="22"/>
                <w:szCs w:val="22"/>
              </w:rPr>
            </w:pPr>
          </w:p>
        </w:tc>
        <w:tc>
          <w:tcPr>
            <w:tcW w:w="4326" w:type="dxa"/>
          </w:tcPr>
          <w:p w14:paraId="6A853408" w14:textId="1A847111"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Prescribing fluids</w:t>
            </w:r>
          </w:p>
        </w:tc>
      </w:tr>
      <w:tr w:rsidR="00251D89" w:rsidRPr="00C858BC" w14:paraId="1019EF25" w14:textId="77777777" w:rsidTr="00BE1404">
        <w:trPr>
          <w:trHeight w:val="466"/>
        </w:trPr>
        <w:tc>
          <w:tcPr>
            <w:tcW w:w="3510" w:type="dxa"/>
          </w:tcPr>
          <w:p w14:paraId="72D78AB0" w14:textId="77777777" w:rsidR="00251D89" w:rsidRPr="00C858BC" w:rsidRDefault="00251D89" w:rsidP="00C858BC">
            <w:pPr>
              <w:spacing w:line="360" w:lineRule="auto"/>
              <w:rPr>
                <w:rFonts w:ascii="Arial" w:hAnsi="Arial" w:cs="Arial"/>
                <w:sz w:val="22"/>
                <w:szCs w:val="22"/>
              </w:rPr>
            </w:pPr>
          </w:p>
        </w:tc>
        <w:tc>
          <w:tcPr>
            <w:tcW w:w="4326" w:type="dxa"/>
          </w:tcPr>
          <w:p w14:paraId="51F07088" w14:textId="5D8CE614"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Blood transfusion – indications, precautions, side effects</w:t>
            </w:r>
          </w:p>
        </w:tc>
      </w:tr>
      <w:tr w:rsidR="00251D89" w:rsidRPr="00C858BC" w14:paraId="66B49989" w14:textId="77777777" w:rsidTr="00BE1404">
        <w:trPr>
          <w:trHeight w:val="466"/>
        </w:trPr>
        <w:tc>
          <w:tcPr>
            <w:tcW w:w="3510" w:type="dxa"/>
          </w:tcPr>
          <w:p w14:paraId="6AE5565F" w14:textId="5549D7D9"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 xml:space="preserve">Procedural skills to learn (not </w:t>
            </w:r>
            <w:r w:rsidRPr="00C858BC">
              <w:rPr>
                <w:rFonts w:ascii="Arial" w:hAnsi="Arial" w:cs="Arial"/>
                <w:sz w:val="22"/>
                <w:szCs w:val="22"/>
              </w:rPr>
              <w:lastRenderedPageBreak/>
              <w:t>covered above)</w:t>
            </w:r>
          </w:p>
        </w:tc>
        <w:tc>
          <w:tcPr>
            <w:tcW w:w="4326" w:type="dxa"/>
          </w:tcPr>
          <w:p w14:paraId="7B2F7551" w14:textId="01BDCE2D"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lastRenderedPageBreak/>
              <w:t>Intravenous cannulation</w:t>
            </w:r>
          </w:p>
        </w:tc>
      </w:tr>
      <w:tr w:rsidR="00251D89" w:rsidRPr="00C858BC" w14:paraId="3B2D46A0" w14:textId="77777777" w:rsidTr="00BE1404">
        <w:trPr>
          <w:trHeight w:val="466"/>
        </w:trPr>
        <w:tc>
          <w:tcPr>
            <w:tcW w:w="3510" w:type="dxa"/>
          </w:tcPr>
          <w:p w14:paraId="39731960" w14:textId="77777777" w:rsidR="00251D89" w:rsidRPr="00C858BC" w:rsidRDefault="00251D89" w:rsidP="00C858BC">
            <w:pPr>
              <w:spacing w:line="360" w:lineRule="auto"/>
              <w:rPr>
                <w:rFonts w:ascii="Arial" w:hAnsi="Arial" w:cs="Arial"/>
                <w:sz w:val="22"/>
                <w:szCs w:val="22"/>
              </w:rPr>
            </w:pPr>
          </w:p>
        </w:tc>
        <w:tc>
          <w:tcPr>
            <w:tcW w:w="4326" w:type="dxa"/>
          </w:tcPr>
          <w:p w14:paraId="0FA15457" w14:textId="1F286F7F"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Aseptic technique</w:t>
            </w:r>
          </w:p>
        </w:tc>
      </w:tr>
      <w:tr w:rsidR="00251D89" w:rsidRPr="00C858BC" w14:paraId="60E1F899" w14:textId="77777777" w:rsidTr="00BE1404">
        <w:trPr>
          <w:trHeight w:val="466"/>
        </w:trPr>
        <w:tc>
          <w:tcPr>
            <w:tcW w:w="3510" w:type="dxa"/>
          </w:tcPr>
          <w:p w14:paraId="6D461803" w14:textId="6C6F9586"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Professional skills</w:t>
            </w:r>
          </w:p>
        </w:tc>
        <w:tc>
          <w:tcPr>
            <w:tcW w:w="4326" w:type="dxa"/>
          </w:tcPr>
          <w:p w14:paraId="35142526" w14:textId="1D5C533F"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Recognition of need to ask for help</w:t>
            </w:r>
          </w:p>
        </w:tc>
      </w:tr>
      <w:tr w:rsidR="00251D89" w:rsidRPr="00C858BC" w14:paraId="719B6BBA" w14:textId="77777777" w:rsidTr="00BE1404">
        <w:trPr>
          <w:trHeight w:val="466"/>
        </w:trPr>
        <w:tc>
          <w:tcPr>
            <w:tcW w:w="3510" w:type="dxa"/>
          </w:tcPr>
          <w:p w14:paraId="493D8ABB" w14:textId="77777777" w:rsidR="00251D89" w:rsidRPr="00C858BC" w:rsidRDefault="00251D89" w:rsidP="00C858BC">
            <w:pPr>
              <w:spacing w:line="360" w:lineRule="auto"/>
              <w:rPr>
                <w:rFonts w:ascii="Arial" w:hAnsi="Arial" w:cs="Arial"/>
                <w:sz w:val="22"/>
                <w:szCs w:val="22"/>
              </w:rPr>
            </w:pPr>
          </w:p>
        </w:tc>
        <w:tc>
          <w:tcPr>
            <w:tcW w:w="4326" w:type="dxa"/>
          </w:tcPr>
          <w:p w14:paraId="59000A63" w14:textId="0D62ECAE"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Human factors and communication in an emergency setting</w:t>
            </w:r>
          </w:p>
        </w:tc>
      </w:tr>
      <w:tr w:rsidR="00251D89" w:rsidRPr="00C858BC" w14:paraId="700D2ADA" w14:textId="77777777" w:rsidTr="00BE1404">
        <w:trPr>
          <w:trHeight w:val="466"/>
        </w:trPr>
        <w:tc>
          <w:tcPr>
            <w:tcW w:w="3510" w:type="dxa"/>
          </w:tcPr>
          <w:p w14:paraId="7280B0C2" w14:textId="77777777" w:rsidR="00251D89" w:rsidRPr="00C858BC" w:rsidRDefault="00251D89" w:rsidP="00C858BC">
            <w:pPr>
              <w:spacing w:line="360" w:lineRule="auto"/>
              <w:rPr>
                <w:rFonts w:ascii="Arial" w:hAnsi="Arial" w:cs="Arial"/>
                <w:sz w:val="22"/>
                <w:szCs w:val="22"/>
              </w:rPr>
            </w:pPr>
          </w:p>
        </w:tc>
        <w:tc>
          <w:tcPr>
            <w:tcW w:w="4326" w:type="dxa"/>
          </w:tcPr>
          <w:p w14:paraId="4E09FBC9" w14:textId="7C24D2BB"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Decision-making and teamwork principles</w:t>
            </w:r>
          </w:p>
        </w:tc>
      </w:tr>
      <w:tr w:rsidR="00251D89" w:rsidRPr="00C858BC" w14:paraId="7BD92ABF" w14:textId="77777777" w:rsidTr="00BE1404">
        <w:trPr>
          <w:trHeight w:val="466"/>
        </w:trPr>
        <w:tc>
          <w:tcPr>
            <w:tcW w:w="3510" w:type="dxa"/>
          </w:tcPr>
          <w:p w14:paraId="4431EF6C" w14:textId="2BB545CC"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Ethical skills</w:t>
            </w:r>
          </w:p>
        </w:tc>
        <w:tc>
          <w:tcPr>
            <w:tcW w:w="4326" w:type="dxa"/>
          </w:tcPr>
          <w:p w14:paraId="4ABAD062" w14:textId="7B74B156"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Consent principles</w:t>
            </w:r>
          </w:p>
        </w:tc>
      </w:tr>
      <w:tr w:rsidR="00251D89" w:rsidRPr="00C858BC" w14:paraId="0DDE27E0" w14:textId="77777777" w:rsidTr="00BE1404">
        <w:trPr>
          <w:trHeight w:val="466"/>
        </w:trPr>
        <w:tc>
          <w:tcPr>
            <w:tcW w:w="3510" w:type="dxa"/>
          </w:tcPr>
          <w:p w14:paraId="580ADE98" w14:textId="77777777" w:rsidR="00251D89" w:rsidRPr="00C858BC" w:rsidRDefault="00251D89" w:rsidP="00C858BC">
            <w:pPr>
              <w:spacing w:line="360" w:lineRule="auto"/>
              <w:rPr>
                <w:rFonts w:ascii="Arial" w:hAnsi="Arial" w:cs="Arial"/>
                <w:sz w:val="22"/>
                <w:szCs w:val="22"/>
              </w:rPr>
            </w:pPr>
          </w:p>
        </w:tc>
        <w:tc>
          <w:tcPr>
            <w:tcW w:w="4326" w:type="dxa"/>
          </w:tcPr>
          <w:p w14:paraId="340A6554" w14:textId="1B7F6F78"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Patient confidentiality</w:t>
            </w:r>
          </w:p>
        </w:tc>
      </w:tr>
      <w:tr w:rsidR="00251D89" w:rsidRPr="00C858BC" w14:paraId="06833C06" w14:textId="77777777" w:rsidTr="00BE1404">
        <w:trPr>
          <w:trHeight w:val="466"/>
        </w:trPr>
        <w:tc>
          <w:tcPr>
            <w:tcW w:w="3510" w:type="dxa"/>
          </w:tcPr>
          <w:p w14:paraId="1EAC867B" w14:textId="77777777" w:rsidR="00251D89" w:rsidRPr="00C858BC" w:rsidRDefault="00251D89" w:rsidP="00C858BC">
            <w:pPr>
              <w:spacing w:line="360" w:lineRule="auto"/>
              <w:rPr>
                <w:rFonts w:ascii="Arial" w:hAnsi="Arial" w:cs="Arial"/>
                <w:sz w:val="22"/>
                <w:szCs w:val="22"/>
              </w:rPr>
            </w:pPr>
          </w:p>
        </w:tc>
        <w:tc>
          <w:tcPr>
            <w:tcW w:w="4326" w:type="dxa"/>
          </w:tcPr>
          <w:p w14:paraId="5BAFE8CF" w14:textId="6D629ED8" w:rsidR="00251D89" w:rsidRPr="00C858BC" w:rsidRDefault="00251D89" w:rsidP="00C858BC">
            <w:pPr>
              <w:spacing w:line="360" w:lineRule="auto"/>
              <w:rPr>
                <w:rFonts w:ascii="Arial" w:hAnsi="Arial" w:cs="Arial"/>
                <w:sz w:val="22"/>
                <w:szCs w:val="22"/>
              </w:rPr>
            </w:pPr>
            <w:r w:rsidRPr="00C858BC">
              <w:rPr>
                <w:rFonts w:ascii="Arial" w:hAnsi="Arial" w:cs="Arial"/>
                <w:sz w:val="22"/>
                <w:szCs w:val="22"/>
              </w:rPr>
              <w:t>End of life management</w:t>
            </w:r>
          </w:p>
        </w:tc>
      </w:tr>
      <w:tr w:rsidR="00251D89" w:rsidRPr="00C858BC" w14:paraId="2DF287A5" w14:textId="77777777" w:rsidTr="00BE1404">
        <w:trPr>
          <w:trHeight w:val="466"/>
        </w:trPr>
        <w:tc>
          <w:tcPr>
            <w:tcW w:w="3510" w:type="dxa"/>
          </w:tcPr>
          <w:p w14:paraId="73A25817" w14:textId="77777777" w:rsidR="00251D89" w:rsidRPr="00C858BC" w:rsidRDefault="00251D89" w:rsidP="00C858BC">
            <w:pPr>
              <w:spacing w:line="360" w:lineRule="auto"/>
              <w:rPr>
                <w:rFonts w:ascii="Arial" w:hAnsi="Arial" w:cs="Arial"/>
                <w:sz w:val="22"/>
                <w:szCs w:val="22"/>
              </w:rPr>
            </w:pPr>
          </w:p>
        </w:tc>
        <w:tc>
          <w:tcPr>
            <w:tcW w:w="4326" w:type="dxa"/>
          </w:tcPr>
          <w:p w14:paraId="361A671D" w14:textId="0F831F8A" w:rsidR="00251D89" w:rsidRPr="00C858BC" w:rsidRDefault="00BE1404" w:rsidP="00C858BC">
            <w:pPr>
              <w:spacing w:line="360" w:lineRule="auto"/>
              <w:rPr>
                <w:rFonts w:ascii="Arial" w:hAnsi="Arial" w:cs="Arial"/>
                <w:sz w:val="22"/>
                <w:szCs w:val="22"/>
              </w:rPr>
            </w:pPr>
            <w:r w:rsidRPr="00C858BC">
              <w:rPr>
                <w:rFonts w:ascii="Arial" w:hAnsi="Arial" w:cs="Arial"/>
                <w:sz w:val="22"/>
                <w:szCs w:val="22"/>
              </w:rPr>
              <w:t>Assessment and communication of risk</w:t>
            </w:r>
          </w:p>
        </w:tc>
      </w:tr>
    </w:tbl>
    <w:p w14:paraId="64A57287" w14:textId="77777777" w:rsidR="00B20F9B" w:rsidRPr="00C858BC" w:rsidRDefault="00B20F9B" w:rsidP="00C858BC">
      <w:pPr>
        <w:spacing w:line="360" w:lineRule="auto"/>
        <w:rPr>
          <w:rFonts w:ascii="Arial" w:hAnsi="Arial" w:cs="Arial"/>
          <w:sz w:val="22"/>
          <w:szCs w:val="22"/>
        </w:rPr>
      </w:pPr>
    </w:p>
    <w:p w14:paraId="230FA287" w14:textId="70220C15" w:rsidR="005D2DFF" w:rsidRDefault="005D2DFF" w:rsidP="00C858BC">
      <w:pPr>
        <w:spacing w:line="360" w:lineRule="auto"/>
        <w:rPr>
          <w:rFonts w:ascii="Arial" w:hAnsi="Arial" w:cs="Arial"/>
          <w:sz w:val="22"/>
          <w:szCs w:val="22"/>
        </w:rPr>
      </w:pPr>
    </w:p>
    <w:p w14:paraId="18D8684D" w14:textId="2214AB75" w:rsidR="00565EF6" w:rsidRPr="00C858BC" w:rsidRDefault="00565EF6" w:rsidP="00C858BC">
      <w:pPr>
        <w:spacing w:line="360" w:lineRule="auto"/>
        <w:rPr>
          <w:rFonts w:ascii="Arial" w:hAnsi="Arial" w:cs="Arial"/>
          <w:sz w:val="22"/>
          <w:szCs w:val="22"/>
        </w:rPr>
      </w:pPr>
      <w:r w:rsidRPr="00C858BC">
        <w:rPr>
          <w:rFonts w:ascii="Arial" w:hAnsi="Arial" w:cs="Arial"/>
          <w:sz w:val="22"/>
          <w:szCs w:val="22"/>
        </w:rPr>
        <w:t>Lessons learnt / tips for success (From Austin Health)</w:t>
      </w:r>
    </w:p>
    <w:tbl>
      <w:tblPr>
        <w:tblStyle w:val="TableGrid"/>
        <w:tblW w:w="0" w:type="auto"/>
        <w:tblLook w:val="04A0" w:firstRow="1" w:lastRow="0" w:firstColumn="1" w:lastColumn="0" w:noHBand="0" w:noVBand="1"/>
      </w:tblPr>
      <w:tblGrid>
        <w:gridCol w:w="8516"/>
      </w:tblGrid>
      <w:tr w:rsidR="005D2DFF" w:rsidRPr="00C858BC" w14:paraId="2423DFE6" w14:textId="77777777" w:rsidTr="005D2DFF">
        <w:tc>
          <w:tcPr>
            <w:tcW w:w="8516" w:type="dxa"/>
          </w:tcPr>
          <w:p w14:paraId="6F798658" w14:textId="5CFED3AB" w:rsidR="005D2DFF" w:rsidRPr="00C858BC" w:rsidRDefault="000C57A3" w:rsidP="00C858BC">
            <w:pPr>
              <w:spacing w:line="360" w:lineRule="auto"/>
              <w:rPr>
                <w:rFonts w:ascii="Arial" w:hAnsi="Arial" w:cs="Arial"/>
                <w:sz w:val="22"/>
                <w:szCs w:val="22"/>
              </w:rPr>
            </w:pPr>
            <w:r w:rsidRPr="00C858BC">
              <w:rPr>
                <w:rFonts w:ascii="Arial" w:hAnsi="Arial" w:cs="Arial"/>
                <w:sz w:val="22"/>
                <w:szCs w:val="22"/>
              </w:rPr>
              <w:t>One overall co-ordinator is essential for success of a medical st</w:t>
            </w:r>
            <w:r w:rsidR="00AC584A" w:rsidRPr="00C858BC">
              <w:rPr>
                <w:rFonts w:ascii="Arial" w:hAnsi="Arial" w:cs="Arial"/>
                <w:sz w:val="22"/>
                <w:szCs w:val="22"/>
              </w:rPr>
              <w:t xml:space="preserve">udent rotation to anaesthesia, </w:t>
            </w:r>
            <w:r w:rsidRPr="00C858BC">
              <w:rPr>
                <w:rFonts w:ascii="Arial" w:hAnsi="Arial" w:cs="Arial"/>
                <w:sz w:val="22"/>
                <w:szCs w:val="22"/>
              </w:rPr>
              <w:t>especially in busy departments with large numbers of anaesthetists</w:t>
            </w:r>
          </w:p>
        </w:tc>
        <w:bookmarkStart w:id="4" w:name="_GoBack"/>
        <w:bookmarkEnd w:id="4"/>
      </w:tr>
      <w:tr w:rsidR="005D2DFF" w:rsidRPr="00C858BC" w14:paraId="31B29A7E" w14:textId="77777777" w:rsidTr="005D2DFF">
        <w:tc>
          <w:tcPr>
            <w:tcW w:w="8516" w:type="dxa"/>
          </w:tcPr>
          <w:p w14:paraId="20F6A8B3" w14:textId="181BE462" w:rsidR="005D2DFF" w:rsidRPr="00C858BC" w:rsidRDefault="000C57A3" w:rsidP="00C858BC">
            <w:pPr>
              <w:spacing w:line="360" w:lineRule="auto"/>
              <w:rPr>
                <w:rFonts w:ascii="Arial" w:hAnsi="Arial" w:cs="Arial"/>
                <w:sz w:val="22"/>
                <w:szCs w:val="22"/>
              </w:rPr>
            </w:pPr>
            <w:r w:rsidRPr="00C858BC">
              <w:rPr>
                <w:rFonts w:ascii="Arial" w:hAnsi="Arial" w:cs="Arial"/>
                <w:sz w:val="22"/>
                <w:szCs w:val="22"/>
              </w:rPr>
              <w:t xml:space="preserve">Making students feel welcome is very </w:t>
            </w:r>
            <w:r w:rsidR="00AC584A" w:rsidRPr="00C858BC">
              <w:rPr>
                <w:rFonts w:ascii="Arial" w:hAnsi="Arial" w:cs="Arial"/>
                <w:sz w:val="22"/>
                <w:szCs w:val="22"/>
              </w:rPr>
              <w:t>important as</w:t>
            </w:r>
            <w:r w:rsidRPr="00C858BC">
              <w:rPr>
                <w:rFonts w:ascii="Arial" w:hAnsi="Arial" w:cs="Arial"/>
                <w:sz w:val="22"/>
                <w:szCs w:val="22"/>
              </w:rPr>
              <w:t xml:space="preserve"> the theatre environment is pretty daunting at first. We name the students on our weekly roster in individual theatres and provide an introductory morning and physical orientation to the theatre complex</w:t>
            </w:r>
          </w:p>
        </w:tc>
      </w:tr>
      <w:tr w:rsidR="005D2DFF" w:rsidRPr="00C858BC" w14:paraId="5E03EC90" w14:textId="77777777" w:rsidTr="005D2DFF">
        <w:tc>
          <w:tcPr>
            <w:tcW w:w="8516" w:type="dxa"/>
          </w:tcPr>
          <w:p w14:paraId="3BDCDA32" w14:textId="310BD578" w:rsidR="000C57A3" w:rsidRPr="00C858BC" w:rsidRDefault="000C57A3" w:rsidP="00C858BC">
            <w:pPr>
              <w:spacing w:line="360" w:lineRule="auto"/>
              <w:rPr>
                <w:rFonts w:ascii="Arial" w:hAnsi="Arial" w:cs="Arial"/>
                <w:sz w:val="22"/>
                <w:szCs w:val="22"/>
              </w:rPr>
            </w:pPr>
            <w:r w:rsidRPr="00C858BC">
              <w:rPr>
                <w:rFonts w:ascii="Arial" w:hAnsi="Arial" w:cs="Arial"/>
                <w:sz w:val="22"/>
                <w:szCs w:val="22"/>
              </w:rPr>
              <w:t>Provide a list of learning objectives as a ‘prompt’ to help guide teaching. For example, one of our in-theatre teaching sessions focuses on fluid management and transfusion medicine. A list of learning objectives for the student to initiate questions might include:</w:t>
            </w:r>
          </w:p>
          <w:p w14:paraId="2655F760" w14:textId="22AB96F8" w:rsidR="000C57A3" w:rsidRPr="00C858BC" w:rsidRDefault="000C57A3" w:rsidP="00C858BC">
            <w:pPr>
              <w:spacing w:line="360" w:lineRule="auto"/>
              <w:rPr>
                <w:rFonts w:ascii="Arial" w:hAnsi="Arial" w:cs="Arial"/>
                <w:sz w:val="22"/>
                <w:szCs w:val="22"/>
              </w:rPr>
            </w:pPr>
            <w:r w:rsidRPr="00C858BC">
              <w:rPr>
                <w:rFonts w:ascii="Arial" w:hAnsi="Arial" w:cs="Arial"/>
                <w:sz w:val="22"/>
                <w:szCs w:val="22"/>
              </w:rPr>
              <w:t>a) what are the major differences in composition of the different crystalloids</w:t>
            </w:r>
          </w:p>
          <w:p w14:paraId="56783414" w14:textId="77777777" w:rsidR="000C57A3" w:rsidRPr="00C858BC" w:rsidRDefault="000C57A3" w:rsidP="00C858BC">
            <w:pPr>
              <w:spacing w:line="360" w:lineRule="auto"/>
              <w:rPr>
                <w:rFonts w:ascii="Arial" w:hAnsi="Arial" w:cs="Arial"/>
                <w:sz w:val="22"/>
                <w:szCs w:val="22"/>
              </w:rPr>
            </w:pPr>
            <w:r w:rsidRPr="00C858BC">
              <w:rPr>
                <w:rFonts w:ascii="Arial" w:hAnsi="Arial" w:cs="Arial"/>
                <w:sz w:val="22"/>
                <w:szCs w:val="22"/>
              </w:rPr>
              <w:t>b) what is the consequence of giving litre after litre of normal saline</w:t>
            </w:r>
          </w:p>
          <w:p w14:paraId="717CDBAA" w14:textId="6533C5A8" w:rsidR="005D2DFF" w:rsidRPr="00C858BC" w:rsidRDefault="000C57A3" w:rsidP="00C858BC">
            <w:pPr>
              <w:spacing w:line="360" w:lineRule="auto"/>
              <w:rPr>
                <w:rFonts w:ascii="Arial" w:hAnsi="Arial" w:cs="Arial"/>
                <w:sz w:val="22"/>
                <w:szCs w:val="22"/>
              </w:rPr>
            </w:pPr>
            <w:r w:rsidRPr="00C858BC">
              <w:rPr>
                <w:rFonts w:ascii="Arial" w:hAnsi="Arial" w:cs="Arial"/>
                <w:sz w:val="22"/>
                <w:szCs w:val="22"/>
              </w:rPr>
              <w:t xml:space="preserve">c) </w:t>
            </w:r>
            <w:r w:rsidR="00483DE4" w:rsidRPr="00C858BC">
              <w:rPr>
                <w:rFonts w:ascii="Arial" w:hAnsi="Arial" w:cs="Arial"/>
                <w:sz w:val="22"/>
                <w:szCs w:val="22"/>
              </w:rPr>
              <w:t>at what haemoglobin</w:t>
            </w:r>
            <w:r w:rsidRPr="00C858BC">
              <w:rPr>
                <w:rFonts w:ascii="Arial" w:hAnsi="Arial" w:cs="Arial"/>
                <w:sz w:val="22"/>
                <w:szCs w:val="22"/>
              </w:rPr>
              <w:t xml:space="preserve"> level is transfusion considered</w:t>
            </w:r>
          </w:p>
        </w:tc>
      </w:tr>
      <w:tr w:rsidR="005D2DFF" w:rsidRPr="00C858BC" w14:paraId="5C08DB8E" w14:textId="77777777" w:rsidTr="005D2DFF">
        <w:tc>
          <w:tcPr>
            <w:tcW w:w="8516" w:type="dxa"/>
          </w:tcPr>
          <w:p w14:paraId="5CE86F76" w14:textId="47AE632C" w:rsidR="005D2DFF" w:rsidRPr="00C858BC" w:rsidRDefault="000C57A3" w:rsidP="00C858BC">
            <w:pPr>
              <w:spacing w:line="360" w:lineRule="auto"/>
              <w:rPr>
                <w:rFonts w:ascii="Arial" w:hAnsi="Arial" w:cs="Arial"/>
                <w:sz w:val="22"/>
                <w:szCs w:val="22"/>
              </w:rPr>
            </w:pPr>
            <w:r w:rsidRPr="00C858BC">
              <w:rPr>
                <w:rFonts w:ascii="Arial" w:hAnsi="Arial" w:cs="Arial"/>
                <w:sz w:val="22"/>
                <w:szCs w:val="22"/>
              </w:rPr>
              <w:t>Students need to have block time that is free from other distractions</w:t>
            </w:r>
          </w:p>
        </w:tc>
      </w:tr>
      <w:tr w:rsidR="005D2DFF" w:rsidRPr="00C858BC" w14:paraId="3B7BDB35" w14:textId="77777777" w:rsidTr="005D2DFF">
        <w:tc>
          <w:tcPr>
            <w:tcW w:w="8516" w:type="dxa"/>
          </w:tcPr>
          <w:p w14:paraId="5ADBC0AF" w14:textId="783DCE5F" w:rsidR="005D2DFF" w:rsidRPr="00C858BC" w:rsidRDefault="000C57A3" w:rsidP="00C858BC">
            <w:pPr>
              <w:spacing w:line="360" w:lineRule="auto"/>
              <w:rPr>
                <w:rFonts w:ascii="Arial" w:hAnsi="Arial" w:cs="Arial"/>
                <w:sz w:val="22"/>
                <w:szCs w:val="22"/>
              </w:rPr>
            </w:pPr>
            <w:r w:rsidRPr="00C858BC">
              <w:rPr>
                <w:rFonts w:ascii="Arial" w:hAnsi="Arial" w:cs="Arial"/>
                <w:sz w:val="22"/>
                <w:szCs w:val="22"/>
              </w:rPr>
              <w:t>Both students and anaesthetists need reminding that teaching should not focus on the specifics of anaesthesia. This needs reiterating at frequent intervals.</w:t>
            </w:r>
          </w:p>
        </w:tc>
      </w:tr>
    </w:tbl>
    <w:p w14:paraId="29DAE119" w14:textId="77777777" w:rsidR="005D2DFF" w:rsidRPr="00C858BC" w:rsidRDefault="005D2DFF" w:rsidP="00C858BC">
      <w:pPr>
        <w:spacing w:line="360" w:lineRule="auto"/>
        <w:rPr>
          <w:rFonts w:ascii="Arial" w:hAnsi="Arial" w:cs="Arial"/>
          <w:sz w:val="22"/>
          <w:szCs w:val="22"/>
        </w:rPr>
      </w:pPr>
    </w:p>
    <w:sectPr w:rsidR="005D2DFF" w:rsidRPr="00C858BC" w:rsidSect="0036015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ADD01" w14:textId="77777777" w:rsidR="00041257" w:rsidRDefault="00041257" w:rsidP="00BE1282">
      <w:r>
        <w:separator/>
      </w:r>
    </w:p>
  </w:endnote>
  <w:endnote w:type="continuationSeparator" w:id="0">
    <w:p w14:paraId="7EF1D914" w14:textId="77777777" w:rsidR="00041257" w:rsidRDefault="00041257" w:rsidP="00BE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00404" w14:textId="77777777" w:rsidR="00041257" w:rsidRDefault="00041257" w:rsidP="00BE1282">
      <w:r>
        <w:separator/>
      </w:r>
    </w:p>
  </w:footnote>
  <w:footnote w:type="continuationSeparator" w:id="0">
    <w:p w14:paraId="7DA8F6D0" w14:textId="77777777" w:rsidR="00041257" w:rsidRDefault="00041257" w:rsidP="00BE1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6D3F"/>
    <w:multiLevelType w:val="hybridMultilevel"/>
    <w:tmpl w:val="64AA5B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5D401FC"/>
    <w:multiLevelType w:val="hybridMultilevel"/>
    <w:tmpl w:val="AE244DBE"/>
    <w:lvl w:ilvl="0" w:tplc="57BAFE9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393E33C3"/>
    <w:multiLevelType w:val="hybridMultilevel"/>
    <w:tmpl w:val="60786E9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6C7710A"/>
    <w:multiLevelType w:val="hybridMultilevel"/>
    <w:tmpl w:val="F2CE6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D238D1"/>
    <w:multiLevelType w:val="hybridMultilevel"/>
    <w:tmpl w:val="D5A25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2F0890"/>
    <w:multiLevelType w:val="hybridMultilevel"/>
    <w:tmpl w:val="60786E9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E9D7325"/>
    <w:multiLevelType w:val="hybridMultilevel"/>
    <w:tmpl w:val="7AB85C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27D"/>
    <w:rsid w:val="00041257"/>
    <w:rsid w:val="00053080"/>
    <w:rsid w:val="000C57A3"/>
    <w:rsid w:val="000F4390"/>
    <w:rsid w:val="001126A3"/>
    <w:rsid w:val="001411F9"/>
    <w:rsid w:val="00160810"/>
    <w:rsid w:val="00160A59"/>
    <w:rsid w:val="00167A2D"/>
    <w:rsid w:val="001770DA"/>
    <w:rsid w:val="00251D89"/>
    <w:rsid w:val="002C2584"/>
    <w:rsid w:val="002C7AD7"/>
    <w:rsid w:val="002E2DDE"/>
    <w:rsid w:val="002F29A9"/>
    <w:rsid w:val="0034515C"/>
    <w:rsid w:val="00360152"/>
    <w:rsid w:val="00361865"/>
    <w:rsid w:val="003855C0"/>
    <w:rsid w:val="003867F7"/>
    <w:rsid w:val="0042648F"/>
    <w:rsid w:val="00483353"/>
    <w:rsid w:val="00483DE4"/>
    <w:rsid w:val="004A33D1"/>
    <w:rsid w:val="004B0923"/>
    <w:rsid w:val="00550B53"/>
    <w:rsid w:val="00564BCF"/>
    <w:rsid w:val="00565EF6"/>
    <w:rsid w:val="005A627D"/>
    <w:rsid w:val="005A62CA"/>
    <w:rsid w:val="005D2DFF"/>
    <w:rsid w:val="005E497E"/>
    <w:rsid w:val="006113B7"/>
    <w:rsid w:val="006220FB"/>
    <w:rsid w:val="00690EEA"/>
    <w:rsid w:val="006D6955"/>
    <w:rsid w:val="0071228F"/>
    <w:rsid w:val="00717E11"/>
    <w:rsid w:val="007975E9"/>
    <w:rsid w:val="007B0ED5"/>
    <w:rsid w:val="00822D60"/>
    <w:rsid w:val="00872D3B"/>
    <w:rsid w:val="00886D40"/>
    <w:rsid w:val="00924E7F"/>
    <w:rsid w:val="00944678"/>
    <w:rsid w:val="009563CD"/>
    <w:rsid w:val="009F216D"/>
    <w:rsid w:val="00A15DF3"/>
    <w:rsid w:val="00A22B31"/>
    <w:rsid w:val="00A25EBF"/>
    <w:rsid w:val="00A50CC5"/>
    <w:rsid w:val="00A7714A"/>
    <w:rsid w:val="00AC1B93"/>
    <w:rsid w:val="00AC584A"/>
    <w:rsid w:val="00AC78C9"/>
    <w:rsid w:val="00B20F9B"/>
    <w:rsid w:val="00B31756"/>
    <w:rsid w:val="00B37570"/>
    <w:rsid w:val="00B454E4"/>
    <w:rsid w:val="00B97545"/>
    <w:rsid w:val="00BC2759"/>
    <w:rsid w:val="00BC5C94"/>
    <w:rsid w:val="00BE07CA"/>
    <w:rsid w:val="00BE1282"/>
    <w:rsid w:val="00BE1404"/>
    <w:rsid w:val="00BE4C84"/>
    <w:rsid w:val="00BE69BC"/>
    <w:rsid w:val="00C33511"/>
    <w:rsid w:val="00C52DD3"/>
    <w:rsid w:val="00C858BC"/>
    <w:rsid w:val="00CA4637"/>
    <w:rsid w:val="00CB4207"/>
    <w:rsid w:val="00CD78E8"/>
    <w:rsid w:val="00CF1AB0"/>
    <w:rsid w:val="00D47BBE"/>
    <w:rsid w:val="00D54F76"/>
    <w:rsid w:val="00D61A58"/>
    <w:rsid w:val="00D853F9"/>
    <w:rsid w:val="00DC4EE9"/>
    <w:rsid w:val="00E023D5"/>
    <w:rsid w:val="00E67E0B"/>
    <w:rsid w:val="00EE1C88"/>
    <w:rsid w:val="00EF7247"/>
    <w:rsid w:val="00F92D4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857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E1282"/>
  </w:style>
  <w:style w:type="character" w:customStyle="1" w:styleId="FootnoteTextChar">
    <w:name w:val="Footnote Text Char"/>
    <w:basedOn w:val="DefaultParagraphFont"/>
    <w:link w:val="FootnoteText"/>
    <w:uiPriority w:val="99"/>
    <w:rsid w:val="00BE1282"/>
    <w:rPr>
      <w:sz w:val="24"/>
      <w:szCs w:val="24"/>
    </w:rPr>
  </w:style>
  <w:style w:type="character" w:styleId="FootnoteReference">
    <w:name w:val="footnote reference"/>
    <w:basedOn w:val="DefaultParagraphFont"/>
    <w:uiPriority w:val="99"/>
    <w:unhideWhenUsed/>
    <w:rsid w:val="00BE1282"/>
    <w:rPr>
      <w:vertAlign w:val="superscript"/>
    </w:rPr>
  </w:style>
  <w:style w:type="paragraph" w:styleId="BalloonText">
    <w:name w:val="Balloon Text"/>
    <w:basedOn w:val="Normal"/>
    <w:link w:val="BalloonTextChar"/>
    <w:uiPriority w:val="99"/>
    <w:semiHidden/>
    <w:unhideWhenUsed/>
    <w:rsid w:val="00D54F76"/>
    <w:rPr>
      <w:rFonts w:ascii="Tahoma" w:hAnsi="Tahoma" w:cs="Tahoma"/>
      <w:sz w:val="16"/>
      <w:szCs w:val="16"/>
    </w:rPr>
  </w:style>
  <w:style w:type="character" w:customStyle="1" w:styleId="BalloonTextChar">
    <w:name w:val="Balloon Text Char"/>
    <w:basedOn w:val="DefaultParagraphFont"/>
    <w:link w:val="BalloonText"/>
    <w:uiPriority w:val="99"/>
    <w:semiHidden/>
    <w:rsid w:val="00D54F76"/>
    <w:rPr>
      <w:rFonts w:ascii="Tahoma" w:hAnsi="Tahoma" w:cs="Tahoma"/>
      <w:sz w:val="16"/>
      <w:szCs w:val="16"/>
    </w:rPr>
  </w:style>
  <w:style w:type="paragraph" w:styleId="ListParagraph">
    <w:name w:val="List Paragraph"/>
    <w:basedOn w:val="Normal"/>
    <w:uiPriority w:val="34"/>
    <w:qFormat/>
    <w:rsid w:val="009F216D"/>
    <w:pPr>
      <w:ind w:left="720"/>
      <w:contextualSpacing/>
    </w:pPr>
  </w:style>
  <w:style w:type="table" w:styleId="TableGrid">
    <w:name w:val="Table Grid"/>
    <w:basedOn w:val="TableNormal"/>
    <w:uiPriority w:val="59"/>
    <w:rsid w:val="00B20F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F1AB0"/>
    <w:rPr>
      <w:sz w:val="18"/>
      <w:szCs w:val="18"/>
    </w:rPr>
  </w:style>
  <w:style w:type="paragraph" w:styleId="CommentText">
    <w:name w:val="annotation text"/>
    <w:basedOn w:val="Normal"/>
    <w:link w:val="CommentTextChar"/>
    <w:uiPriority w:val="99"/>
    <w:semiHidden/>
    <w:unhideWhenUsed/>
    <w:rsid w:val="00CF1AB0"/>
  </w:style>
  <w:style w:type="character" w:customStyle="1" w:styleId="CommentTextChar">
    <w:name w:val="Comment Text Char"/>
    <w:basedOn w:val="DefaultParagraphFont"/>
    <w:link w:val="CommentText"/>
    <w:uiPriority w:val="99"/>
    <w:semiHidden/>
    <w:rsid w:val="00CF1AB0"/>
    <w:rPr>
      <w:sz w:val="24"/>
      <w:szCs w:val="24"/>
    </w:rPr>
  </w:style>
  <w:style w:type="paragraph" w:styleId="CommentSubject">
    <w:name w:val="annotation subject"/>
    <w:basedOn w:val="CommentText"/>
    <w:next w:val="CommentText"/>
    <w:link w:val="CommentSubjectChar"/>
    <w:uiPriority w:val="99"/>
    <w:semiHidden/>
    <w:unhideWhenUsed/>
    <w:rsid w:val="00CF1AB0"/>
    <w:rPr>
      <w:b/>
      <w:bCs/>
      <w:sz w:val="20"/>
      <w:szCs w:val="20"/>
    </w:rPr>
  </w:style>
  <w:style w:type="character" w:customStyle="1" w:styleId="CommentSubjectChar">
    <w:name w:val="Comment Subject Char"/>
    <w:basedOn w:val="CommentTextChar"/>
    <w:link w:val="CommentSubject"/>
    <w:uiPriority w:val="99"/>
    <w:semiHidden/>
    <w:rsid w:val="00CF1AB0"/>
    <w:rPr>
      <w:b/>
      <w:bCs/>
      <w:sz w:val="24"/>
      <w:szCs w:val="24"/>
    </w:rPr>
  </w:style>
  <w:style w:type="paragraph" w:styleId="NoSpacing">
    <w:name w:val="No Spacing"/>
    <w:uiPriority w:val="1"/>
    <w:qFormat/>
    <w:rsid w:val="00EE1C88"/>
    <w:rPr>
      <w:sz w:val="22"/>
      <w:szCs w:val="22"/>
      <w:lang w:eastAsia="zh-CN"/>
    </w:rPr>
  </w:style>
  <w:style w:type="character" w:styleId="Hyperlink">
    <w:name w:val="Hyperlink"/>
    <w:basedOn w:val="DefaultParagraphFont"/>
    <w:uiPriority w:val="99"/>
    <w:unhideWhenUsed/>
    <w:rsid w:val="00B975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E1282"/>
  </w:style>
  <w:style w:type="character" w:customStyle="1" w:styleId="FootnoteTextChar">
    <w:name w:val="Footnote Text Char"/>
    <w:basedOn w:val="DefaultParagraphFont"/>
    <w:link w:val="FootnoteText"/>
    <w:uiPriority w:val="99"/>
    <w:rsid w:val="00BE1282"/>
    <w:rPr>
      <w:sz w:val="24"/>
      <w:szCs w:val="24"/>
    </w:rPr>
  </w:style>
  <w:style w:type="character" w:styleId="FootnoteReference">
    <w:name w:val="footnote reference"/>
    <w:basedOn w:val="DefaultParagraphFont"/>
    <w:uiPriority w:val="99"/>
    <w:unhideWhenUsed/>
    <w:rsid w:val="00BE1282"/>
    <w:rPr>
      <w:vertAlign w:val="superscript"/>
    </w:rPr>
  </w:style>
  <w:style w:type="paragraph" w:styleId="BalloonText">
    <w:name w:val="Balloon Text"/>
    <w:basedOn w:val="Normal"/>
    <w:link w:val="BalloonTextChar"/>
    <w:uiPriority w:val="99"/>
    <w:semiHidden/>
    <w:unhideWhenUsed/>
    <w:rsid w:val="00D54F76"/>
    <w:rPr>
      <w:rFonts w:ascii="Tahoma" w:hAnsi="Tahoma" w:cs="Tahoma"/>
      <w:sz w:val="16"/>
      <w:szCs w:val="16"/>
    </w:rPr>
  </w:style>
  <w:style w:type="character" w:customStyle="1" w:styleId="BalloonTextChar">
    <w:name w:val="Balloon Text Char"/>
    <w:basedOn w:val="DefaultParagraphFont"/>
    <w:link w:val="BalloonText"/>
    <w:uiPriority w:val="99"/>
    <w:semiHidden/>
    <w:rsid w:val="00D54F76"/>
    <w:rPr>
      <w:rFonts w:ascii="Tahoma" w:hAnsi="Tahoma" w:cs="Tahoma"/>
      <w:sz w:val="16"/>
      <w:szCs w:val="16"/>
    </w:rPr>
  </w:style>
  <w:style w:type="paragraph" w:styleId="ListParagraph">
    <w:name w:val="List Paragraph"/>
    <w:basedOn w:val="Normal"/>
    <w:uiPriority w:val="34"/>
    <w:qFormat/>
    <w:rsid w:val="009F216D"/>
    <w:pPr>
      <w:ind w:left="720"/>
      <w:contextualSpacing/>
    </w:pPr>
  </w:style>
  <w:style w:type="table" w:styleId="TableGrid">
    <w:name w:val="Table Grid"/>
    <w:basedOn w:val="TableNormal"/>
    <w:uiPriority w:val="59"/>
    <w:rsid w:val="00B20F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F1AB0"/>
    <w:rPr>
      <w:sz w:val="18"/>
      <w:szCs w:val="18"/>
    </w:rPr>
  </w:style>
  <w:style w:type="paragraph" w:styleId="CommentText">
    <w:name w:val="annotation text"/>
    <w:basedOn w:val="Normal"/>
    <w:link w:val="CommentTextChar"/>
    <w:uiPriority w:val="99"/>
    <w:semiHidden/>
    <w:unhideWhenUsed/>
    <w:rsid w:val="00CF1AB0"/>
  </w:style>
  <w:style w:type="character" w:customStyle="1" w:styleId="CommentTextChar">
    <w:name w:val="Comment Text Char"/>
    <w:basedOn w:val="DefaultParagraphFont"/>
    <w:link w:val="CommentText"/>
    <w:uiPriority w:val="99"/>
    <w:semiHidden/>
    <w:rsid w:val="00CF1AB0"/>
    <w:rPr>
      <w:sz w:val="24"/>
      <w:szCs w:val="24"/>
    </w:rPr>
  </w:style>
  <w:style w:type="paragraph" w:styleId="CommentSubject">
    <w:name w:val="annotation subject"/>
    <w:basedOn w:val="CommentText"/>
    <w:next w:val="CommentText"/>
    <w:link w:val="CommentSubjectChar"/>
    <w:uiPriority w:val="99"/>
    <w:semiHidden/>
    <w:unhideWhenUsed/>
    <w:rsid w:val="00CF1AB0"/>
    <w:rPr>
      <w:b/>
      <w:bCs/>
      <w:sz w:val="20"/>
      <w:szCs w:val="20"/>
    </w:rPr>
  </w:style>
  <w:style w:type="character" w:customStyle="1" w:styleId="CommentSubjectChar">
    <w:name w:val="Comment Subject Char"/>
    <w:basedOn w:val="CommentTextChar"/>
    <w:link w:val="CommentSubject"/>
    <w:uiPriority w:val="99"/>
    <w:semiHidden/>
    <w:rsid w:val="00CF1AB0"/>
    <w:rPr>
      <w:b/>
      <w:bCs/>
      <w:sz w:val="24"/>
      <w:szCs w:val="24"/>
    </w:rPr>
  </w:style>
  <w:style w:type="paragraph" w:styleId="NoSpacing">
    <w:name w:val="No Spacing"/>
    <w:uiPriority w:val="1"/>
    <w:qFormat/>
    <w:rsid w:val="00EE1C88"/>
    <w:rPr>
      <w:sz w:val="22"/>
      <w:szCs w:val="22"/>
      <w:lang w:eastAsia="zh-CN"/>
    </w:rPr>
  </w:style>
  <w:style w:type="character" w:styleId="Hyperlink">
    <w:name w:val="Hyperlink"/>
    <w:basedOn w:val="DefaultParagraphFont"/>
    <w:uiPriority w:val="99"/>
    <w:unhideWhenUsed/>
    <w:rsid w:val="00B975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dicaldeans.org.au/wp-content/uploads/Website-Stats-2013-Table-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983CD-F4B1-4CCB-B9DC-BE9BD8B5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20187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Ellard</dc:creator>
  <cp:lastModifiedBy>Natalie Smith Dr</cp:lastModifiedBy>
  <cp:revision>7</cp:revision>
  <cp:lastPrinted>2015-05-14T05:41:00Z</cp:lastPrinted>
  <dcterms:created xsi:type="dcterms:W3CDTF">2015-05-28T23:20:00Z</dcterms:created>
  <dcterms:modified xsi:type="dcterms:W3CDTF">2015-05-28T23:43:00Z</dcterms:modified>
</cp:coreProperties>
</file>